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C32C0" w14:textId="0DE287EE" w:rsidR="009E55B3" w:rsidRPr="006F19AA" w:rsidRDefault="00F211EF" w:rsidP="00B54261">
      <w:pPr>
        <w:pStyle w:val="PaperTitle"/>
      </w:pPr>
      <w:r>
        <w:t xml:space="preserve">Analisis Efektifitas </w:t>
      </w:r>
      <w:r w:rsidR="00964578">
        <w:t>Mesin Ball Mill Melalui S</w:t>
      </w:r>
      <w:r>
        <w:t xml:space="preserve">istem Monitoring Penggunaan </w:t>
      </w:r>
      <w:r w:rsidRPr="000A75B9">
        <w:rPr>
          <w:i/>
          <w:iCs/>
        </w:rPr>
        <w:t>Lead Lump</w:t>
      </w:r>
      <w:r>
        <w:t xml:space="preserve"> Secara </w:t>
      </w:r>
      <w:r w:rsidRPr="000A75B9">
        <w:rPr>
          <w:i/>
          <w:iCs/>
        </w:rPr>
        <w:t>Real-Time</w:t>
      </w:r>
      <w:r>
        <w:t>: Studi Kasus Industri Baterai</w:t>
      </w:r>
    </w:p>
    <w:p w14:paraId="5A33AD44" w14:textId="77777777" w:rsidR="001A517B" w:rsidRPr="001A517B" w:rsidRDefault="001A517B" w:rsidP="001A517B"/>
    <w:p w14:paraId="0B8AE86A" w14:textId="2F7B5066" w:rsidR="001A517B" w:rsidRPr="006964BA" w:rsidRDefault="00F211EF" w:rsidP="00995F72">
      <w:pPr>
        <w:pStyle w:val="AuthorName"/>
      </w:pPr>
      <w:r>
        <w:t>Farika Tono Putri</w:t>
      </w:r>
      <w:r w:rsidR="001A517B" w:rsidRPr="006964BA">
        <w:rPr>
          <w:vertAlign w:val="superscript"/>
        </w:rPr>
        <w:t>1</w:t>
      </w:r>
      <w:r w:rsidR="001A517B" w:rsidRPr="006067A2">
        <w:t xml:space="preserve">, </w:t>
      </w:r>
      <w:r>
        <w:t>Diding Suhardi</w:t>
      </w:r>
      <w:r w:rsidR="001A517B" w:rsidRPr="006964BA">
        <w:rPr>
          <w:vertAlign w:val="superscript"/>
        </w:rPr>
        <w:t>2</w:t>
      </w:r>
      <w:r w:rsidR="001A517B" w:rsidRPr="006067A2">
        <w:t xml:space="preserve">, </w:t>
      </w:r>
      <w:r>
        <w:t>Alvian Indra Cahya</w:t>
      </w:r>
      <w:r w:rsidRPr="00F211EF">
        <w:rPr>
          <w:vertAlign w:val="superscript"/>
        </w:rPr>
        <w:t>1</w:t>
      </w:r>
      <w:r>
        <w:t xml:space="preserve"> dan Eko Saputra</w:t>
      </w:r>
      <w:r w:rsidRPr="00F211EF">
        <w:rPr>
          <w:vertAlign w:val="superscript"/>
        </w:rPr>
        <w:t>3</w:t>
      </w:r>
    </w:p>
    <w:p w14:paraId="6B02F4C2" w14:textId="38C065E0" w:rsidR="001A517B" w:rsidRPr="00F21957" w:rsidRDefault="000A75B9" w:rsidP="00995F72">
      <w:pPr>
        <w:pStyle w:val="AuthorAffiliation"/>
      </w:pPr>
      <w:r w:rsidRPr="000A75B9">
        <w:rPr>
          <w:vertAlign w:val="superscript"/>
        </w:rPr>
        <w:t>1</w:t>
      </w:r>
      <w:r>
        <w:t xml:space="preserve">Program Studi Sarjana Terapan Teknik Mesin Produksi dan Perawatan, </w:t>
      </w:r>
      <w:r w:rsidR="00F211EF">
        <w:t>Politeknik Negeri Semarang</w:t>
      </w:r>
      <w:r w:rsidR="001A517B" w:rsidRPr="00F21957">
        <w:t xml:space="preserve">, </w:t>
      </w:r>
      <w:r>
        <w:t>Jl. Prof. Sudarto, SH Tembalang Semarang</w:t>
      </w:r>
      <w:r w:rsidR="006964BA">
        <w:t xml:space="preserve"> </w:t>
      </w:r>
    </w:p>
    <w:p w14:paraId="6B74B6E7" w14:textId="2C09F789" w:rsidR="001A517B" w:rsidRPr="00F21957" w:rsidRDefault="00B4265D" w:rsidP="00995F72">
      <w:pPr>
        <w:pStyle w:val="AuthorAffiliation"/>
      </w:pPr>
      <w:r w:rsidRPr="0023386B">
        <w:rPr>
          <w:vertAlign w:val="superscript"/>
        </w:rPr>
        <w:t>2</w:t>
      </w:r>
      <w:r>
        <w:t xml:space="preserve"> </w:t>
      </w:r>
      <w:r w:rsidRPr="0023386B">
        <w:t>Program Profesi Insinyur</w:t>
      </w:r>
      <w:r>
        <w:t>,</w:t>
      </w:r>
      <w:r w:rsidRPr="0023386B">
        <w:t xml:space="preserve"> U</w:t>
      </w:r>
      <w:r>
        <w:t xml:space="preserve">niversitas </w:t>
      </w:r>
      <w:r w:rsidRPr="0023386B">
        <w:t>M</w:t>
      </w:r>
      <w:r>
        <w:t xml:space="preserve">uhammadiyah </w:t>
      </w:r>
      <w:r w:rsidRPr="0023386B">
        <w:t>M</w:t>
      </w:r>
      <w:r>
        <w:t>alang, Jl. Raya Tlogomas 246 Malang</w:t>
      </w:r>
    </w:p>
    <w:p w14:paraId="11B6CA84" w14:textId="5900D713" w:rsidR="000A75B9" w:rsidRPr="00F21957" w:rsidRDefault="000A75B9" w:rsidP="000A75B9">
      <w:pPr>
        <w:pStyle w:val="AuthorAffiliation"/>
      </w:pPr>
      <w:r w:rsidRPr="000A75B9">
        <w:rPr>
          <w:vertAlign w:val="superscript"/>
        </w:rPr>
        <w:t>3</w:t>
      </w:r>
      <w:r>
        <w:t>Program Studi D3 Teknik Mesin</w:t>
      </w:r>
      <w:r w:rsidR="00F211EF" w:rsidRPr="00F21957">
        <w:t xml:space="preserve">, </w:t>
      </w:r>
      <w:r>
        <w:t>Politeknik Negeri Semarang</w:t>
      </w:r>
      <w:r w:rsidRPr="00F21957">
        <w:t xml:space="preserve">, </w:t>
      </w:r>
      <w:r>
        <w:t xml:space="preserve">Jl. Prof. Sudarto, SH Tembalang Semarang </w:t>
      </w:r>
    </w:p>
    <w:p w14:paraId="07784CC2" w14:textId="77777777" w:rsidR="00731EEE" w:rsidRDefault="00731EEE" w:rsidP="000A75B9">
      <w:pPr>
        <w:pStyle w:val="AuthorEmail"/>
        <w:jc w:val="left"/>
      </w:pPr>
    </w:p>
    <w:p w14:paraId="3E0B6156" w14:textId="4934BE60" w:rsidR="001A517B" w:rsidRPr="00F21957" w:rsidRDefault="001A517B" w:rsidP="00995F72">
      <w:pPr>
        <w:pStyle w:val="AuthorEmail"/>
      </w:pPr>
      <w:r w:rsidRPr="00F21957">
        <w:t>Kontak Person:</w:t>
      </w:r>
    </w:p>
    <w:p w14:paraId="55A1E506" w14:textId="16441F98" w:rsidR="001A517B" w:rsidRPr="00F21957" w:rsidRDefault="000A75B9" w:rsidP="00995F72">
      <w:pPr>
        <w:pStyle w:val="AuthorEmail"/>
      </w:pPr>
      <w:r>
        <w:t>Farika Tono Putri</w:t>
      </w:r>
    </w:p>
    <w:p w14:paraId="3EDC0DA4" w14:textId="7B41475F" w:rsidR="001A517B" w:rsidRPr="00F21957" w:rsidRDefault="000A75B9" w:rsidP="000A75B9">
      <w:pPr>
        <w:pStyle w:val="AuthorAffiliation"/>
      </w:pPr>
      <w:r>
        <w:t xml:space="preserve">Jl. Prof. Sudarto, SH Tembalang Semarang </w:t>
      </w:r>
    </w:p>
    <w:p w14:paraId="1B042D17" w14:textId="652D1160" w:rsidR="001A517B" w:rsidRPr="00F21957" w:rsidRDefault="001A517B" w:rsidP="00995F72">
      <w:pPr>
        <w:pStyle w:val="AuthorEmail"/>
      </w:pPr>
      <w:r w:rsidRPr="00F21957">
        <w:t xml:space="preserve">E-mail: </w:t>
      </w:r>
      <w:hyperlink r:id="rId8" w:history="1">
        <w:r w:rsidR="000A75B9" w:rsidRPr="00991C67">
          <w:rPr>
            <w:rStyle w:val="Hyperlink"/>
          </w:rPr>
          <w:t>farika.tonoputri@polines.ac.id</w:t>
        </w:r>
      </w:hyperlink>
      <w:r w:rsidR="000A75B9">
        <w:t xml:space="preserve"> </w:t>
      </w:r>
    </w:p>
    <w:p w14:paraId="5D3F0761" w14:textId="77777777" w:rsidR="00503BCA" w:rsidRDefault="00503BCA" w:rsidP="00503BCA"/>
    <w:p w14:paraId="6EFE75BC" w14:textId="09E3FA88" w:rsidR="009E55B3" w:rsidRDefault="009E55B3" w:rsidP="00C217C6">
      <w:pPr>
        <w:pStyle w:val="AuthorName"/>
      </w:pPr>
      <w:r w:rsidRPr="00503BCA">
        <w:t>Abstrak</w:t>
      </w:r>
      <w:r w:rsidR="006964BA">
        <w:t xml:space="preserve"> </w:t>
      </w:r>
    </w:p>
    <w:p w14:paraId="77189C27" w14:textId="4B4DBF61" w:rsidR="000A75B9" w:rsidRDefault="000A75B9" w:rsidP="00C217C6">
      <w:pPr>
        <w:pStyle w:val="Abstract"/>
      </w:pPr>
      <w:r>
        <w:t xml:space="preserve">PT XYZ merupakan industri yang bergerak di bidang </w:t>
      </w:r>
      <w:r w:rsidR="000E38E6">
        <w:t xml:space="preserve">produksi sistem penyimpanan energi yaitu baterai. PT XYZ memiliki lini produksi bubuk timah atau lead powder. Bubuk timah diproduksi </w:t>
      </w:r>
      <w:r w:rsidR="00437C43">
        <w:t xml:space="preserve">di Process Engineering Department melalui </w:t>
      </w:r>
      <w:r w:rsidR="00225CAD">
        <w:t xml:space="preserve">penghancuran gumpalan timah (lead lump) dengan menggunakan mesin ball milling. Process Engineering Department </w:t>
      </w:r>
      <w:r w:rsidR="009F19B3">
        <w:t xml:space="preserve">menghadapi permasalahan yaitu </w:t>
      </w:r>
      <w:r w:rsidR="009F19B3" w:rsidRPr="009F19B3">
        <w:t>tidak diketahuinya penggunaan lead lump pada masing-masing mesin ball mill. Tidak diketahuinya penggunaan lead lump pada masing-masing mesin ball mill menyebabkan tidak diketahuinya juga efektivitas kinerja dari masing-masing mesin ball mill. Tujuan penelitian ini yaitu untuk menganalisis efektivitas mesin ball mill menggunakan metode overall equipment effectiveness dan mengetahui cara melakukan predictive maintenance pada mesin ball mill. Metode penelitian meliputi identifikasi masalah, studi pustaka, perancangan, proses pengerjaan, pengujian, analisis, dan diakhiri dengan pelaporan. Hasil penelitian diperoleh nilai rata-rata overall equipment effectiveness sebesar 86,05% dan predictive maintenance pada mesin ball mill dapat dilakukan dengan cara melihat trend grafik performance yang didapatkan setelah melakukan perhitungan overall equipment effectiveness.</w:t>
      </w:r>
    </w:p>
    <w:p w14:paraId="2D635B04" w14:textId="77777777" w:rsidR="00503BCA" w:rsidRPr="009E3421" w:rsidRDefault="00503BCA" w:rsidP="00503BCA"/>
    <w:p w14:paraId="323F8671" w14:textId="009BCC9A" w:rsidR="009E55B3" w:rsidRPr="009E3421" w:rsidRDefault="009E55B3" w:rsidP="00C217C6">
      <w:pPr>
        <w:pStyle w:val="Abstract"/>
        <w:rPr>
          <w:szCs w:val="24"/>
        </w:rPr>
      </w:pPr>
      <w:r w:rsidRPr="00960424">
        <w:rPr>
          <w:b/>
        </w:rPr>
        <w:t>Kata kunci:</w:t>
      </w:r>
      <w:r w:rsidRPr="009E3421">
        <w:t xml:space="preserve"> </w:t>
      </w:r>
      <w:r w:rsidR="009F19B3" w:rsidRPr="009F19B3">
        <w:t>Sistem monitoring, efektivitas, overall equipment effectiveness, predictive maintenance</w:t>
      </w:r>
    </w:p>
    <w:p w14:paraId="4A157757" w14:textId="77777777" w:rsidR="00A47C15" w:rsidRDefault="00A47C15" w:rsidP="001A517B"/>
    <w:p w14:paraId="349019BA" w14:textId="77777777" w:rsidR="00A761AD" w:rsidRPr="00C217C6" w:rsidRDefault="00A761AD" w:rsidP="00C217C6">
      <w:pPr>
        <w:pStyle w:val="Heading1"/>
      </w:pPr>
      <w:r w:rsidRPr="00C217C6">
        <w:t>1. Pendahuluan</w:t>
      </w:r>
    </w:p>
    <w:p w14:paraId="18690BFA" w14:textId="51414826" w:rsidR="001442E1" w:rsidRDefault="0048012B" w:rsidP="001442E1">
      <w:pPr>
        <w:pStyle w:val="Paragraph"/>
      </w:pPr>
      <w:r>
        <w:t>PT XYZ merupakan industri manufaktur yang bergerak di bidang produksi baterai asam timbal. Produk baterai dari PT XYZ diklasifikasikan ke dalam tiga jenis yaitu baterai untuk kendaraan roda dua (</w:t>
      </w:r>
      <w:r w:rsidRPr="007071BE">
        <w:rPr>
          <w:i/>
          <w:iCs/>
        </w:rPr>
        <w:t>motorcycle battery</w:t>
      </w:r>
      <w:r>
        <w:t>), baterai untuk kendaraan roda empat (</w:t>
      </w:r>
      <w:r w:rsidR="007071BE" w:rsidRPr="007071BE">
        <w:rPr>
          <w:i/>
          <w:iCs/>
        </w:rPr>
        <w:t>automotive battery</w:t>
      </w:r>
      <w:r w:rsidR="007071BE">
        <w:t>) dan baterai untuk kendaraan industri (</w:t>
      </w:r>
      <w:r w:rsidR="007071BE" w:rsidRPr="007071BE">
        <w:rPr>
          <w:i/>
          <w:iCs/>
        </w:rPr>
        <w:t>industrial battery</w:t>
      </w:r>
      <w:r w:rsidR="007071BE">
        <w:t xml:space="preserve">). Proses pembuatan baterai di PT XYZ melibatkan pembuatan plat yang terdiri dari beberapa bagian yaitu </w:t>
      </w:r>
      <w:r w:rsidR="007071BE" w:rsidRPr="00F71916">
        <w:rPr>
          <w:i/>
          <w:iCs/>
        </w:rPr>
        <w:t>grid</w:t>
      </w:r>
      <w:r w:rsidR="007071BE">
        <w:t>, bubuk timah (</w:t>
      </w:r>
      <w:r w:rsidR="007071BE" w:rsidRPr="007071BE">
        <w:rPr>
          <w:i/>
          <w:iCs/>
        </w:rPr>
        <w:t>lead powder</w:t>
      </w:r>
      <w:r w:rsidR="007071BE">
        <w:t>), asam sulfat dan bahan tambahan lain. P</w:t>
      </w:r>
      <w:r w:rsidR="00A70170">
        <w:t>la</w:t>
      </w:r>
      <w:r w:rsidR="007071BE">
        <w:t xml:space="preserve">t tersebut kemudian akan dirakit dengan komponen baterai lainnya. Pembuatan </w:t>
      </w:r>
      <w:r w:rsidR="007071BE" w:rsidRPr="00A70170">
        <w:rPr>
          <w:i/>
          <w:iCs/>
        </w:rPr>
        <w:t>lead powder</w:t>
      </w:r>
      <w:r w:rsidR="007071BE">
        <w:t xml:space="preserve"> dilakukan di divisi </w:t>
      </w:r>
      <w:r w:rsidR="007071BE" w:rsidRPr="00A70170">
        <w:rPr>
          <w:i/>
          <w:iCs/>
        </w:rPr>
        <w:t>Process Engineering</w:t>
      </w:r>
      <w:r w:rsidR="007071BE">
        <w:t xml:space="preserve">. Bahan baku </w:t>
      </w:r>
      <w:r w:rsidR="007071BE" w:rsidRPr="00A70170">
        <w:rPr>
          <w:i/>
          <w:iCs/>
        </w:rPr>
        <w:t>lead powder</w:t>
      </w:r>
      <w:r w:rsidR="007071BE">
        <w:t xml:space="preserve"> yang diproduksi oleh PT XYZ terdiri dari batangan timah</w:t>
      </w:r>
      <w:r w:rsidR="006E5E1E">
        <w:t xml:space="preserve"> (</w:t>
      </w:r>
      <w:r w:rsidR="006E5E1E" w:rsidRPr="006E5E1E">
        <w:rPr>
          <w:i/>
          <w:iCs/>
        </w:rPr>
        <w:t xml:space="preserve">lead </w:t>
      </w:r>
      <w:r w:rsidR="007A02AB">
        <w:rPr>
          <w:i/>
          <w:iCs/>
        </w:rPr>
        <w:t>ingot</w:t>
      </w:r>
      <w:r w:rsidR="006E5E1E">
        <w:t>)</w:t>
      </w:r>
      <w:r w:rsidR="007071BE">
        <w:t xml:space="preserve"> kualitas 3N dengan kadar kandungan timah sebesar 99,97% dan batangan timah kualitas 4N dengan kadar kandungan timah sebesar 99,99%.</w:t>
      </w:r>
      <w:r w:rsidR="00A70170">
        <w:t xml:space="preserve"> Proses produksi </w:t>
      </w:r>
      <w:r w:rsidR="00A70170" w:rsidRPr="00A70170">
        <w:rPr>
          <w:i/>
          <w:iCs/>
        </w:rPr>
        <w:t>lead powder</w:t>
      </w:r>
      <w:r w:rsidR="00A70170">
        <w:t xml:space="preserve"> dimulai dari batangan timah dilelehkan pada </w:t>
      </w:r>
      <w:r w:rsidR="00A70170" w:rsidRPr="00A70170">
        <w:rPr>
          <w:i/>
          <w:iCs/>
        </w:rPr>
        <w:t>melting pot</w:t>
      </w:r>
      <w:r w:rsidR="00A70170">
        <w:t xml:space="preserve"> yang menghasilkan lelehan timah</w:t>
      </w:r>
      <w:r w:rsidR="006E5E1E">
        <w:t xml:space="preserve"> (</w:t>
      </w:r>
      <w:r w:rsidR="006E5E1E" w:rsidRPr="006E5E1E">
        <w:rPr>
          <w:i/>
          <w:iCs/>
        </w:rPr>
        <w:t>melted lead</w:t>
      </w:r>
      <w:r w:rsidR="006E5E1E">
        <w:t>)</w:t>
      </w:r>
      <w:r w:rsidR="00A70170">
        <w:t>. Lelehan timah tersebut kemudian masuk menuju cetakan putar (</w:t>
      </w:r>
      <w:r w:rsidR="00A70170" w:rsidRPr="00A70170">
        <w:rPr>
          <w:i/>
          <w:iCs/>
        </w:rPr>
        <w:t>rotary mold</w:t>
      </w:r>
      <w:r w:rsidR="00A70170">
        <w:t>) dengan hasil berupa cetakan timah</w:t>
      </w:r>
      <w:r w:rsidR="006E5E1E">
        <w:t xml:space="preserve"> (</w:t>
      </w:r>
      <w:r w:rsidR="006E5E1E" w:rsidRPr="006E5E1E">
        <w:rPr>
          <w:i/>
          <w:iCs/>
        </w:rPr>
        <w:t>molded lead</w:t>
      </w:r>
      <w:r w:rsidR="006E5E1E">
        <w:t>)</w:t>
      </w:r>
      <w:r w:rsidR="00A70170">
        <w:t xml:space="preserve">. Mesin potong digunakan untuk memotong cetakan timah tersebut menjadi gumpalan-gumpalan yang disebut dengan </w:t>
      </w:r>
      <w:r w:rsidR="00A70170" w:rsidRPr="00A70170">
        <w:rPr>
          <w:i/>
          <w:iCs/>
        </w:rPr>
        <w:t>lead lump</w:t>
      </w:r>
      <w:r w:rsidR="007A02AB">
        <w:rPr>
          <w:i/>
          <w:iCs/>
        </w:rPr>
        <w:t xml:space="preserve"> </w:t>
      </w:r>
      <w:r w:rsidR="007A02AB">
        <w:t>(Gambar 2</w:t>
      </w:r>
      <w:r w:rsidR="00A25CC6">
        <w:t xml:space="preserve"> (a)</w:t>
      </w:r>
      <w:r w:rsidR="007A02AB">
        <w:t>)</w:t>
      </w:r>
      <w:r w:rsidR="00A70170">
        <w:t xml:space="preserve">. </w:t>
      </w:r>
      <w:r w:rsidR="00A70170" w:rsidRPr="00A70170">
        <w:rPr>
          <w:i/>
          <w:iCs/>
        </w:rPr>
        <w:t>Lead lump</w:t>
      </w:r>
      <w:r w:rsidR="00A70170">
        <w:t xml:space="preserve"> selanjutnya didistribusikan menuju </w:t>
      </w:r>
      <w:r w:rsidR="00A70170" w:rsidRPr="00A70170">
        <w:rPr>
          <w:i/>
          <w:iCs/>
        </w:rPr>
        <w:t>silo lead lump</w:t>
      </w:r>
      <w:r w:rsidR="00A70170">
        <w:t xml:space="preserve"> yang kemudian menuju mesin </w:t>
      </w:r>
      <w:r w:rsidR="00A70170" w:rsidRPr="00A70170">
        <w:rPr>
          <w:i/>
          <w:iCs/>
        </w:rPr>
        <w:t>ball mill</w:t>
      </w:r>
      <w:r w:rsidR="00A70170">
        <w:t xml:space="preserve"> untuk dihancurkan menjadi </w:t>
      </w:r>
      <w:r w:rsidR="00A70170" w:rsidRPr="00A70170">
        <w:rPr>
          <w:i/>
          <w:iCs/>
        </w:rPr>
        <w:t>lead powder</w:t>
      </w:r>
      <w:r w:rsidR="00A70170">
        <w:t xml:space="preserve">. Proses produksi </w:t>
      </w:r>
      <w:r w:rsidR="00A70170" w:rsidRPr="00A70170">
        <w:rPr>
          <w:i/>
          <w:iCs/>
        </w:rPr>
        <w:t>lead powder</w:t>
      </w:r>
      <w:r w:rsidR="00A70170">
        <w:t xml:space="preserve"> tersebut disajikan pada Gambar 1.</w:t>
      </w:r>
    </w:p>
    <w:p w14:paraId="754AF366" w14:textId="077CD543" w:rsidR="00A70170" w:rsidRDefault="003C5F86" w:rsidP="003C5F86">
      <w:pPr>
        <w:pStyle w:val="Paragraph"/>
        <w:ind w:firstLine="0"/>
        <w:jc w:val="center"/>
      </w:pPr>
      <w:r>
        <w:rPr>
          <w:noProof/>
        </w:rPr>
        <w:lastRenderedPageBreak/>
        <w:drawing>
          <wp:inline distT="0" distB="0" distL="0" distR="0" wp14:anchorId="77ADFF0C" wp14:editId="0B9ED3D9">
            <wp:extent cx="5095875" cy="2567319"/>
            <wp:effectExtent l="0" t="0" r="0" b="4445"/>
            <wp:docPr id="205541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14594" name=""/>
                    <pic:cNvPicPr/>
                  </pic:nvPicPr>
                  <pic:blipFill>
                    <a:blip r:embed="rId9"/>
                    <a:stretch>
                      <a:fillRect/>
                    </a:stretch>
                  </pic:blipFill>
                  <pic:spPr>
                    <a:xfrm>
                      <a:off x="0" y="0"/>
                      <a:ext cx="5105889" cy="2572364"/>
                    </a:xfrm>
                    <a:prstGeom prst="rect">
                      <a:avLst/>
                    </a:prstGeom>
                  </pic:spPr>
                </pic:pic>
              </a:graphicData>
            </a:graphic>
          </wp:inline>
        </w:drawing>
      </w:r>
    </w:p>
    <w:p w14:paraId="635782CE" w14:textId="1EB4E811" w:rsidR="00885A02" w:rsidRDefault="00885A02" w:rsidP="00885A02">
      <w:pPr>
        <w:pStyle w:val="Paragraph"/>
        <w:ind w:firstLine="0"/>
        <w:jc w:val="center"/>
        <w:rPr>
          <w:i/>
          <w:iCs/>
        </w:rPr>
      </w:pPr>
      <w:r>
        <w:t xml:space="preserve">Gambar 1 Diagram alir proses produksi </w:t>
      </w:r>
      <w:r w:rsidRPr="00885A02">
        <w:rPr>
          <w:i/>
          <w:iCs/>
        </w:rPr>
        <w:t>lead po</w:t>
      </w:r>
      <w:r>
        <w:rPr>
          <w:i/>
          <w:iCs/>
        </w:rPr>
        <w:t>w</w:t>
      </w:r>
      <w:r w:rsidRPr="00885A02">
        <w:rPr>
          <w:i/>
          <w:iCs/>
        </w:rPr>
        <w:t>der</w:t>
      </w:r>
    </w:p>
    <w:p w14:paraId="4753CE83" w14:textId="77777777" w:rsidR="003C5F86" w:rsidRDefault="003C5F86" w:rsidP="00885A02">
      <w:pPr>
        <w:pStyle w:val="Paragraph"/>
        <w:ind w:firstLine="0"/>
        <w:jc w:val="cente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7A02AB" w14:paraId="126ECACB" w14:textId="77777777" w:rsidTr="00301C0D">
        <w:tc>
          <w:tcPr>
            <w:tcW w:w="4530" w:type="dxa"/>
          </w:tcPr>
          <w:p w14:paraId="31B91A4F" w14:textId="77777777" w:rsidR="007A02AB" w:rsidRDefault="007A02AB" w:rsidP="007A02AB">
            <w:pPr>
              <w:pStyle w:val="Paragraph"/>
              <w:ind w:firstLine="0"/>
              <w:jc w:val="center"/>
            </w:pPr>
            <w:r>
              <w:rPr>
                <w:noProof/>
              </w:rPr>
              <w:drawing>
                <wp:inline distT="0" distB="0" distL="0" distR="0" wp14:anchorId="6A80A7ED" wp14:editId="173D47F1">
                  <wp:extent cx="2019300" cy="1704975"/>
                  <wp:effectExtent l="0" t="0" r="0" b="9525"/>
                  <wp:docPr id="649781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81733" name=""/>
                          <pic:cNvPicPr/>
                        </pic:nvPicPr>
                        <pic:blipFill>
                          <a:blip r:embed="rId10"/>
                          <a:stretch>
                            <a:fillRect/>
                          </a:stretch>
                        </pic:blipFill>
                        <pic:spPr>
                          <a:xfrm>
                            <a:off x="0" y="0"/>
                            <a:ext cx="2025611" cy="1710304"/>
                          </a:xfrm>
                          <a:prstGeom prst="rect">
                            <a:avLst/>
                          </a:prstGeom>
                        </pic:spPr>
                      </pic:pic>
                    </a:graphicData>
                  </a:graphic>
                </wp:inline>
              </w:drawing>
            </w:r>
          </w:p>
          <w:p w14:paraId="7105F9D5" w14:textId="38CEFBCD" w:rsidR="007A02AB" w:rsidRDefault="007A02AB" w:rsidP="007A02AB">
            <w:pPr>
              <w:pStyle w:val="Paragraph"/>
              <w:ind w:firstLine="0"/>
              <w:jc w:val="center"/>
            </w:pPr>
            <w:r>
              <w:t>(a)</w:t>
            </w:r>
          </w:p>
        </w:tc>
        <w:tc>
          <w:tcPr>
            <w:tcW w:w="4531" w:type="dxa"/>
          </w:tcPr>
          <w:p w14:paraId="1DF847EE" w14:textId="77777777" w:rsidR="007A02AB" w:rsidRDefault="007A02AB" w:rsidP="007A02AB">
            <w:pPr>
              <w:pStyle w:val="Paragraph"/>
              <w:ind w:firstLine="0"/>
              <w:jc w:val="center"/>
            </w:pPr>
            <w:r>
              <w:rPr>
                <w:noProof/>
              </w:rPr>
              <w:drawing>
                <wp:inline distT="0" distB="0" distL="0" distR="0" wp14:anchorId="6F1A0674" wp14:editId="547673DF">
                  <wp:extent cx="2257386" cy="1663700"/>
                  <wp:effectExtent l="0" t="0" r="0" b="0"/>
                  <wp:docPr id="73998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89911" name=""/>
                          <pic:cNvPicPr/>
                        </pic:nvPicPr>
                        <pic:blipFill>
                          <a:blip r:embed="rId11"/>
                          <a:stretch>
                            <a:fillRect/>
                          </a:stretch>
                        </pic:blipFill>
                        <pic:spPr>
                          <a:xfrm>
                            <a:off x="0" y="0"/>
                            <a:ext cx="2264632" cy="1669040"/>
                          </a:xfrm>
                          <a:prstGeom prst="rect">
                            <a:avLst/>
                          </a:prstGeom>
                        </pic:spPr>
                      </pic:pic>
                    </a:graphicData>
                  </a:graphic>
                </wp:inline>
              </w:drawing>
            </w:r>
          </w:p>
          <w:p w14:paraId="0D4E5DBD" w14:textId="55BFEA91" w:rsidR="007A02AB" w:rsidRDefault="007A02AB" w:rsidP="007A02AB">
            <w:pPr>
              <w:pStyle w:val="Paragraph"/>
              <w:ind w:firstLine="0"/>
              <w:jc w:val="center"/>
            </w:pPr>
            <w:r>
              <w:t>(b)</w:t>
            </w:r>
          </w:p>
        </w:tc>
      </w:tr>
    </w:tbl>
    <w:p w14:paraId="68989CD5" w14:textId="24B87181" w:rsidR="007A02AB" w:rsidRPr="00AD0FC1" w:rsidRDefault="007A02AB" w:rsidP="007A02AB">
      <w:pPr>
        <w:pStyle w:val="Paragraph"/>
        <w:ind w:firstLine="0"/>
        <w:jc w:val="center"/>
      </w:pPr>
      <w:r>
        <w:t>Gambar 2</w:t>
      </w:r>
      <w:r w:rsidR="00AD0FC1">
        <w:t xml:space="preserve"> (a)</w:t>
      </w:r>
      <w:r>
        <w:t xml:space="preserve"> </w:t>
      </w:r>
      <w:r w:rsidRPr="007A02AB">
        <w:rPr>
          <w:i/>
          <w:iCs/>
        </w:rPr>
        <w:t>Lead lump</w:t>
      </w:r>
      <w:r w:rsidR="00AD0FC1">
        <w:rPr>
          <w:i/>
          <w:iCs/>
        </w:rPr>
        <w:t xml:space="preserve"> </w:t>
      </w:r>
      <w:r w:rsidR="00AD0FC1">
        <w:t xml:space="preserve">dan (b) Proses pencatatan penggunaan </w:t>
      </w:r>
      <w:r w:rsidR="00AD0FC1" w:rsidRPr="00AD0FC1">
        <w:rPr>
          <w:i/>
          <w:iCs/>
        </w:rPr>
        <w:t>lead lump</w:t>
      </w:r>
      <w:r w:rsidR="00AD0FC1">
        <w:t xml:space="preserve"> secara manual</w:t>
      </w:r>
    </w:p>
    <w:p w14:paraId="052438B8" w14:textId="77777777" w:rsidR="007A02AB" w:rsidRDefault="007A02AB" w:rsidP="00C217C6">
      <w:pPr>
        <w:pStyle w:val="Paragraph"/>
      </w:pPr>
    </w:p>
    <w:p w14:paraId="2C0BB3F9" w14:textId="6681A3EE" w:rsidR="00F71916" w:rsidRDefault="00885A02" w:rsidP="00C217C6">
      <w:pPr>
        <w:pStyle w:val="Paragraph"/>
      </w:pPr>
      <w:r>
        <w:t xml:space="preserve">PT XYZ memiliki 5 buah mesin </w:t>
      </w:r>
      <w:r w:rsidRPr="00885A02">
        <w:rPr>
          <w:i/>
          <w:iCs/>
        </w:rPr>
        <w:t>ball mill</w:t>
      </w:r>
      <w:r w:rsidR="001442E1">
        <w:rPr>
          <w:i/>
          <w:iCs/>
        </w:rPr>
        <w:t xml:space="preserve"> </w:t>
      </w:r>
      <w:r w:rsidR="001442E1">
        <w:t xml:space="preserve">(Gambar </w:t>
      </w:r>
      <w:r w:rsidR="007A02AB">
        <w:t>3</w:t>
      </w:r>
      <w:r w:rsidR="001442E1">
        <w:t xml:space="preserve"> (a))</w:t>
      </w:r>
      <w:r>
        <w:t xml:space="preserve">, 3 buah </w:t>
      </w:r>
      <w:r w:rsidRPr="00885A02">
        <w:rPr>
          <w:i/>
          <w:iCs/>
        </w:rPr>
        <w:t>silo lead lump</w:t>
      </w:r>
      <w:r>
        <w:t xml:space="preserve"> yang berfungsi sebagai tempat penyimpanan </w:t>
      </w:r>
      <w:r w:rsidRPr="00885A02">
        <w:rPr>
          <w:i/>
          <w:iCs/>
        </w:rPr>
        <w:t>lead lump</w:t>
      </w:r>
      <w:r>
        <w:t xml:space="preserve"> dan 2 buah </w:t>
      </w:r>
      <w:r w:rsidRPr="00885A02">
        <w:rPr>
          <w:i/>
          <w:iCs/>
        </w:rPr>
        <w:t>melting pot</w:t>
      </w:r>
      <w:r>
        <w:t xml:space="preserve">. Denah mesin-mesin tersebut ditunjukkan pada Gambar </w:t>
      </w:r>
      <w:r w:rsidR="007A02AB">
        <w:t>3</w:t>
      </w:r>
      <w:r w:rsidR="001442E1">
        <w:t xml:space="preserve"> (b)</w:t>
      </w:r>
      <w:r>
        <w:t>.</w:t>
      </w:r>
    </w:p>
    <w:p w14:paraId="4AE3BAF7" w14:textId="77777777" w:rsidR="001442E1" w:rsidRDefault="001442E1" w:rsidP="00C217C6">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442E1" w14:paraId="78E1C9BB" w14:textId="77777777" w:rsidTr="001442E1">
        <w:tc>
          <w:tcPr>
            <w:tcW w:w="4530" w:type="dxa"/>
          </w:tcPr>
          <w:p w14:paraId="5B0C8D83" w14:textId="77777777" w:rsidR="001442E1" w:rsidRDefault="001442E1" w:rsidP="001442E1">
            <w:pPr>
              <w:pStyle w:val="Paragraph"/>
              <w:ind w:firstLine="0"/>
              <w:jc w:val="center"/>
            </w:pPr>
            <w:r>
              <w:rPr>
                <w:noProof/>
              </w:rPr>
              <w:drawing>
                <wp:inline distT="0" distB="0" distL="0" distR="0" wp14:anchorId="7329F6A2" wp14:editId="4D6E070D">
                  <wp:extent cx="2190750" cy="1774033"/>
                  <wp:effectExtent l="0" t="0" r="0" b="0"/>
                  <wp:docPr id="291440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40069" name=""/>
                          <pic:cNvPicPr/>
                        </pic:nvPicPr>
                        <pic:blipFill>
                          <a:blip r:embed="rId12"/>
                          <a:stretch>
                            <a:fillRect/>
                          </a:stretch>
                        </pic:blipFill>
                        <pic:spPr>
                          <a:xfrm>
                            <a:off x="0" y="0"/>
                            <a:ext cx="2203635" cy="1784467"/>
                          </a:xfrm>
                          <a:prstGeom prst="rect">
                            <a:avLst/>
                          </a:prstGeom>
                        </pic:spPr>
                      </pic:pic>
                    </a:graphicData>
                  </a:graphic>
                </wp:inline>
              </w:drawing>
            </w:r>
          </w:p>
          <w:p w14:paraId="469843A9" w14:textId="32198B69" w:rsidR="001442E1" w:rsidRDefault="001442E1" w:rsidP="001442E1">
            <w:pPr>
              <w:pStyle w:val="Paragraph"/>
              <w:ind w:firstLine="0"/>
              <w:jc w:val="center"/>
            </w:pPr>
            <w:r>
              <w:t>(a)</w:t>
            </w:r>
          </w:p>
        </w:tc>
        <w:tc>
          <w:tcPr>
            <w:tcW w:w="4531" w:type="dxa"/>
          </w:tcPr>
          <w:p w14:paraId="325C50E7" w14:textId="77777777" w:rsidR="001442E1" w:rsidRDefault="001442E1" w:rsidP="001442E1">
            <w:pPr>
              <w:pStyle w:val="Paragraph"/>
              <w:ind w:firstLine="0"/>
              <w:jc w:val="center"/>
            </w:pPr>
            <w:r>
              <w:rPr>
                <w:noProof/>
              </w:rPr>
              <w:drawing>
                <wp:inline distT="0" distB="0" distL="0" distR="0" wp14:anchorId="381BBDF1" wp14:editId="48AB8923">
                  <wp:extent cx="2085754" cy="1773555"/>
                  <wp:effectExtent l="0" t="0" r="0" b="0"/>
                  <wp:docPr id="530544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44973" name=""/>
                          <pic:cNvPicPr/>
                        </pic:nvPicPr>
                        <pic:blipFill>
                          <a:blip r:embed="rId13"/>
                          <a:stretch>
                            <a:fillRect/>
                          </a:stretch>
                        </pic:blipFill>
                        <pic:spPr>
                          <a:xfrm>
                            <a:off x="0" y="0"/>
                            <a:ext cx="2098086" cy="1784042"/>
                          </a:xfrm>
                          <a:prstGeom prst="rect">
                            <a:avLst/>
                          </a:prstGeom>
                        </pic:spPr>
                      </pic:pic>
                    </a:graphicData>
                  </a:graphic>
                </wp:inline>
              </w:drawing>
            </w:r>
          </w:p>
          <w:p w14:paraId="5A689325" w14:textId="787FA96F" w:rsidR="001442E1" w:rsidRDefault="001442E1" w:rsidP="001442E1">
            <w:pPr>
              <w:pStyle w:val="Paragraph"/>
              <w:ind w:firstLine="0"/>
              <w:jc w:val="center"/>
            </w:pPr>
            <w:r>
              <w:t>(b)</w:t>
            </w:r>
          </w:p>
        </w:tc>
      </w:tr>
    </w:tbl>
    <w:p w14:paraId="1DCC8983" w14:textId="35D9DFAD" w:rsidR="00885A02" w:rsidRDefault="00885A02" w:rsidP="00885A02">
      <w:pPr>
        <w:pStyle w:val="Paragraph"/>
        <w:ind w:firstLine="0"/>
        <w:jc w:val="center"/>
      </w:pPr>
      <w:r>
        <w:t xml:space="preserve">Gambar </w:t>
      </w:r>
      <w:r w:rsidR="007A02AB">
        <w:t>3</w:t>
      </w:r>
      <w:r>
        <w:t xml:space="preserve"> </w:t>
      </w:r>
      <w:r w:rsidR="007A02AB">
        <w:t xml:space="preserve">Proses produksi </w:t>
      </w:r>
      <w:r w:rsidR="007A02AB" w:rsidRPr="007A02AB">
        <w:rPr>
          <w:i/>
          <w:iCs/>
        </w:rPr>
        <w:t>lead lump</w:t>
      </w:r>
      <w:r w:rsidR="007A02AB">
        <w:t xml:space="preserve">: (a) Mesin </w:t>
      </w:r>
      <w:r w:rsidR="007A02AB" w:rsidRPr="007A02AB">
        <w:rPr>
          <w:i/>
          <w:iCs/>
        </w:rPr>
        <w:t>ball mill</w:t>
      </w:r>
      <w:r w:rsidR="007A02AB">
        <w:t xml:space="preserve"> dan (b) </w:t>
      </w:r>
      <w:r>
        <w:t xml:space="preserve">Denah mesin produksi </w:t>
      </w:r>
      <w:r w:rsidRPr="00885A02">
        <w:rPr>
          <w:i/>
          <w:iCs/>
        </w:rPr>
        <w:t>lead powder</w:t>
      </w:r>
    </w:p>
    <w:p w14:paraId="32C48F37" w14:textId="77777777" w:rsidR="00F71916" w:rsidRDefault="00F71916" w:rsidP="00C217C6">
      <w:pPr>
        <w:pStyle w:val="Paragraph"/>
      </w:pPr>
    </w:p>
    <w:p w14:paraId="0C34E849" w14:textId="29C7F17C" w:rsidR="001442E1" w:rsidRDefault="007A02AB" w:rsidP="00C217C6">
      <w:pPr>
        <w:pStyle w:val="Paragraph"/>
      </w:pPr>
      <w:r>
        <w:t xml:space="preserve">Permasalahan yang dihadapi PT XYZ dalam proses produksi </w:t>
      </w:r>
      <w:r w:rsidRPr="007A02AB">
        <w:rPr>
          <w:i/>
          <w:iCs/>
        </w:rPr>
        <w:t>lead powder</w:t>
      </w:r>
      <w:r>
        <w:t xml:space="preserve"> tersebut adalah belum ada sistem pemantauan berkala yang mencatat penggunaan </w:t>
      </w:r>
      <w:r w:rsidRPr="007A02AB">
        <w:rPr>
          <w:i/>
          <w:iCs/>
        </w:rPr>
        <w:t>lead lump</w:t>
      </w:r>
      <w:r>
        <w:t xml:space="preserve"> pada masing-masing </w:t>
      </w:r>
      <w:r w:rsidRPr="007A02AB">
        <w:rPr>
          <w:i/>
          <w:iCs/>
        </w:rPr>
        <w:t>ball mill</w:t>
      </w:r>
      <w:r>
        <w:t xml:space="preserve">. Proses pencatatan </w:t>
      </w:r>
      <w:r w:rsidRPr="007A02AB">
        <w:rPr>
          <w:i/>
          <w:iCs/>
        </w:rPr>
        <w:t>ball mill</w:t>
      </w:r>
      <w:r>
        <w:t xml:space="preserve"> hanya dilakukan secara manual seperti ditunjukkan pada Gambar </w:t>
      </w:r>
      <w:r w:rsidR="00AD0FC1">
        <w:t>2 (b)</w:t>
      </w:r>
      <w:r>
        <w:t xml:space="preserve">. Proses </w:t>
      </w:r>
      <w:r w:rsidR="00AD0FC1">
        <w:t>pemantauan berkala</w:t>
      </w:r>
      <w:r>
        <w:t xml:space="preserve"> penggunaan </w:t>
      </w:r>
      <w:r w:rsidRPr="00AD0FC1">
        <w:rPr>
          <w:i/>
          <w:iCs/>
        </w:rPr>
        <w:t>lead lump</w:t>
      </w:r>
      <w:r>
        <w:t xml:space="preserve"> merupakan hal yang penting dilakukan untuk melakukan identifikasi permasalahan pada mesin </w:t>
      </w:r>
      <w:r w:rsidRPr="00AD0FC1">
        <w:rPr>
          <w:i/>
          <w:iCs/>
        </w:rPr>
        <w:t>ball mill</w:t>
      </w:r>
      <w:r>
        <w:t xml:space="preserve"> ketika terjadi penurunan kinerja pada mesin. Pemantauan berkala penggunaan </w:t>
      </w:r>
      <w:r w:rsidRPr="00AD0FC1">
        <w:rPr>
          <w:i/>
          <w:iCs/>
        </w:rPr>
        <w:t>lead lump</w:t>
      </w:r>
      <w:r>
        <w:t xml:space="preserve"> dapat dimanfaatkan sebagai identifikasi awal apakah mesin </w:t>
      </w:r>
      <w:r w:rsidRPr="00AD0FC1">
        <w:rPr>
          <w:i/>
          <w:iCs/>
        </w:rPr>
        <w:t>ball mill</w:t>
      </w:r>
      <w:r>
        <w:t xml:space="preserve"> yang digunakan perlu dilakukan perbaikan. Penggunaan </w:t>
      </w:r>
      <w:r w:rsidRPr="00AD0FC1">
        <w:rPr>
          <w:i/>
          <w:iCs/>
        </w:rPr>
        <w:t>lead lump</w:t>
      </w:r>
      <w:r>
        <w:t xml:space="preserve"> yang menurun mengindikasikan bahwa mesin </w:t>
      </w:r>
      <w:r w:rsidRPr="00AD0FC1">
        <w:rPr>
          <w:i/>
          <w:iCs/>
        </w:rPr>
        <w:t>ball mill</w:t>
      </w:r>
      <w:r>
        <w:t xml:space="preserve"> perlu dilakukan perawatan.</w:t>
      </w:r>
      <w:r w:rsidR="00AD0FC1">
        <w:t xml:space="preserve"> Permasalahan tersebut dapat diatasi dengan rancang bangun sebuah sistem pemantauan berkala</w:t>
      </w:r>
      <w:r w:rsidR="003E1253">
        <w:t xml:space="preserve"> secara </w:t>
      </w:r>
      <w:r w:rsidR="003E1253" w:rsidRPr="003E1253">
        <w:rPr>
          <w:i/>
          <w:iCs/>
        </w:rPr>
        <w:t>real-time</w:t>
      </w:r>
      <w:r w:rsidR="00AD0FC1">
        <w:t xml:space="preserve"> penggunaan </w:t>
      </w:r>
      <w:r w:rsidR="00AD0FC1" w:rsidRPr="00AD0FC1">
        <w:rPr>
          <w:i/>
          <w:iCs/>
        </w:rPr>
        <w:t>lead lump</w:t>
      </w:r>
      <w:r w:rsidR="00AD0FC1">
        <w:t xml:space="preserve"> dengan pencatatan digital melalui pemrograman PLC. Penelitian ini bertujuan untuk melakukan analisa efektivitas mesin </w:t>
      </w:r>
      <w:r w:rsidR="00AD0FC1" w:rsidRPr="003E1253">
        <w:rPr>
          <w:i/>
          <w:iCs/>
        </w:rPr>
        <w:t>ball mill</w:t>
      </w:r>
      <w:r w:rsidR="00AD0FC1">
        <w:t xml:space="preserve"> di PT XYZ setelah dilakukan pemantauan berkala dan pencatatan secara digital. Analisa efektivitas mesin </w:t>
      </w:r>
      <w:r w:rsidR="00AD0FC1" w:rsidRPr="00471424">
        <w:rPr>
          <w:i/>
          <w:iCs/>
        </w:rPr>
        <w:t>ball mill</w:t>
      </w:r>
      <w:r w:rsidR="00AD0FC1">
        <w:t xml:space="preserve"> dilakukan melalui penilaian </w:t>
      </w:r>
      <w:r w:rsidR="00AD0FC1" w:rsidRPr="00AD0FC1">
        <w:rPr>
          <w:i/>
          <w:iCs/>
        </w:rPr>
        <w:t>availability</w:t>
      </w:r>
      <w:r w:rsidR="00AD0FC1">
        <w:t xml:space="preserve">, </w:t>
      </w:r>
      <w:r w:rsidR="00471424" w:rsidRPr="00471424">
        <w:rPr>
          <w:i/>
          <w:iCs/>
        </w:rPr>
        <w:t>performance</w:t>
      </w:r>
      <w:r w:rsidR="00AD0FC1">
        <w:t xml:space="preserve">, </w:t>
      </w:r>
      <w:r w:rsidR="00471424" w:rsidRPr="00471424">
        <w:rPr>
          <w:i/>
          <w:iCs/>
        </w:rPr>
        <w:t>quality</w:t>
      </w:r>
      <w:r w:rsidR="00AD0FC1">
        <w:t xml:space="preserve"> dan </w:t>
      </w:r>
      <w:r w:rsidR="00AD0FC1" w:rsidRPr="00AD0FC1">
        <w:rPr>
          <w:i/>
          <w:iCs/>
        </w:rPr>
        <w:t>overall equipment effectiveness</w:t>
      </w:r>
      <w:r w:rsidR="00AD0FC1">
        <w:t xml:space="preserve"> (OEE). Penelitian ini memberikan sumbangsih bagi khasanah keilmuan </w:t>
      </w:r>
      <w:r w:rsidR="00AE49DC">
        <w:t xml:space="preserve">teknik </w:t>
      </w:r>
      <w:r w:rsidR="00AD0FC1">
        <w:t xml:space="preserve">perawatan mesin </w:t>
      </w:r>
      <w:r w:rsidR="00AD0FC1" w:rsidRPr="00471424">
        <w:rPr>
          <w:i/>
          <w:iCs/>
        </w:rPr>
        <w:t xml:space="preserve">ball mill </w:t>
      </w:r>
      <w:r w:rsidR="00AD0FC1">
        <w:t xml:space="preserve">dimana </w:t>
      </w:r>
      <w:r w:rsidR="00AE49DC">
        <w:t xml:space="preserve">perawatan mesin yang baik dan terencana akan menghemat biaya produksi </w:t>
      </w:r>
      <w:r w:rsidR="00AE49DC">
        <w:fldChar w:fldCharType="begin" w:fldLock="1"/>
      </w:r>
      <w:r w:rsidR="004A30A5">
        <w:instrText>ADDIN CSL_CITATION {"citationItems":[{"id":"ITEM-1","itemData":{"ISSN":"2460-4038","abstract":"Aktifitas produksi sering mengalami hambatan dikarenakan tidak berfungsinya mesin-mesin produksi yang dalam industri manufaktur merupakan komponen utama. Kegagalan beroperasi mesin mengakibatkan downtime yang ujung-ujungnya menurunkan produktifitas perusahaan. Oleh karenanya diperlukan sebuah sistem perencanaan pemeliharaan agar menghasilkan availability (ketersediaan) mesin yang optimal. Perusahaan yang dijadikan proyek penelitian adalah  PT. Sici Multi IndoMarmer yang merupakan perusahaan yang bergerak dalam bidang produksi keramik (kloset jongkok, kloset duduk, washtafel, tempat sabun) dimana sistem pemeliharaan mesin, khususnya mesin ballmill yang telah dilakukan masih bersifat corrective maintenance. Tujuan dari penelitian ini adalah implementasi RCM (reliability centered maintenance) untuk dapat menentukan pemeliharan yang optimal serta dapat memprediksikan langkah untuk mengatasi kerusakan yang mungkin terjadi pada periode berikutnya berdasarkan data-data yang ada. Dari pengolahan data dan analisa diperoleh komponen-komponen yang paling sering mengalami kerusakan pada mesin ballmill , penyebab kegagalan, keputusan seleksi dan  rekomendasi yang dianjurkan untuk sistem pemeliharaan dengan basis RCM.","author":[{"dropping-particle":"","family":"Alghofari","given":"Ahmad Kholid","non-dropping-particle":"","parse-names":false,"suffix":""},{"dropping-particle":"","family":"Djunaidi","given":"Much.","non-dropping-particle":"","parse-names":false,"suffix":""},{"dropping-particle":"","family":"Fauzan","given":"Amin","non-dropping-particle":"","parse-names":false,"suffix":""}],"container-title":"Jurnal Ilmiah Teknik Industri","id":"ITEM-1","issue":"2","issued":{"date-parts":[["2006"]]},"page":"45-52","title":"Perencanaan Pemeliharaan Mesin Ballmill Dengan Basis Rcm  (Reliability Centered Maintenance)","type":"article-journal","volume":"5"},"uris":["http://www.mendeley.com/documents/?uuid=2a0453ef-94bc-4579-925a-3a055cf8a477"]},{"id":"ITEM-2","itemData":{"abstract":"ΕΙΣ ΤΟΝ ΑΙΩΝΑ","author":[{"dropping-particle":"","family":"Ananda","given":"Rizki","non-dropping-particle":"","parse-names":false,"suffix":""}],"id":"ITEM-2","issued":{"date-parts":[["2024"]]},"number-of-pages":"1-31","publisher":"Universitas Hasanuddin","title":"Optimalisasi Preventive Maintenance Mesin Ball Mill Menggunakan Metode Modularity Design (Studi Kasus PT. Bumi Sarana Beton)","type":"thesis"},"uris":["http://www.mendeley.com/documents/?uuid=f3407524-770f-4bdd-999e-bf58439d4db9"]}],"mendeley":{"formattedCitation":"[1], [2]","plainTextFormattedCitation":"[1], [2]","previouslyFormattedCitation":"[1], [2]"},"properties":{"noteIndex":0},"schema":"https://github.com/citation-style-language/schema/raw/master/csl-citation.json"}</w:instrText>
      </w:r>
      <w:r w:rsidR="00AE49DC">
        <w:fldChar w:fldCharType="separate"/>
      </w:r>
      <w:r w:rsidR="00AE49DC" w:rsidRPr="00AE49DC">
        <w:rPr>
          <w:noProof/>
        </w:rPr>
        <w:t>[1], [2]</w:t>
      </w:r>
      <w:r w:rsidR="00AE49DC">
        <w:fldChar w:fldCharType="end"/>
      </w:r>
      <w:r w:rsidR="00AE49DC">
        <w:t>.</w:t>
      </w:r>
    </w:p>
    <w:p w14:paraId="206039EC" w14:textId="5CFA8102" w:rsidR="00AE49DC" w:rsidRDefault="00AE49DC" w:rsidP="00C217C6">
      <w:pPr>
        <w:pStyle w:val="Paragraph"/>
      </w:pPr>
      <w:r>
        <w:t>Analisa OEE merupakan sa</w:t>
      </w:r>
      <w:r w:rsidR="003E1253">
        <w:t>l</w:t>
      </w:r>
      <w:r>
        <w:t xml:space="preserve">ah satu metode yang banyak digunakan dalam menentukan </w:t>
      </w:r>
      <w:r w:rsidR="004A30A5">
        <w:t xml:space="preserve">performa produktivitas alat yang ada pada industri manufaktur </w:t>
      </w:r>
      <w:r w:rsidR="004A30A5">
        <w:fldChar w:fldCharType="begin" w:fldLock="1"/>
      </w:r>
      <w:r w:rsidR="00301C0D">
        <w:instrText>ADDIN CSL_CITATION {"citationItems":[{"id":"ITEM-1","itemData":{"DOI":"10.31599/jies.v2i1.401","abstract":"Overall equipment effectiveness (OEE) is a performance evaluation method used to measure industrial equipment productivity as a key performance indicator. This literature study aims to identify, categorize, and synthesize research related to the application, study and analysis of OEE in various industrial fields. The literature review was carried out systematically, structured and directed manner on 35 journals in Asia in the last eight years. Covering OEE's core characteristics and synergizing the strengths of the improvement framework, this study will provide a systematic guide to OEE practitioners in implementing improvements that can be used to identify areas for future development and as a reference for further research.","author":[{"dropping-particle":"","family":"Atikno","given":"Welly","non-dropping-particle":"","parse-names":false,"suffix":""},{"dropping-particle":"","family":"Purba","given":"Humiras Hardi","non-dropping-particle":"","parse-names":false,"suffix":""}],"container-title":"Journal of Industrial and Engineering System","id":"ITEM-1","issue":"1","issued":{"date-parts":[["2021"]]},"page":"29-39","title":"OEE, Literature Review Tinjauan Literatur Secara Sistematik Tentang Overall Equipment Effectiveness (OEE) di Industri Manufaktur dan Jasa","type":"article-journal","volume":"2"},"uris":["http://www.mendeley.com/documents/?uuid=3270276b-c9f2-4082-83ce-c79e57328715"]}],"mendeley":{"formattedCitation":"[3]","plainTextFormattedCitation":"[3]","previouslyFormattedCitation":"[3]"},"properties":{"noteIndex":0},"schema":"https://github.com/citation-style-language/schema/raw/master/csl-citation.json"}</w:instrText>
      </w:r>
      <w:r w:rsidR="004A30A5">
        <w:fldChar w:fldCharType="separate"/>
      </w:r>
      <w:r w:rsidR="004A30A5" w:rsidRPr="004A30A5">
        <w:rPr>
          <w:noProof/>
        </w:rPr>
        <w:t>[3]</w:t>
      </w:r>
      <w:r w:rsidR="004A30A5">
        <w:fldChar w:fldCharType="end"/>
      </w:r>
      <w:r w:rsidR="004A30A5">
        <w:t xml:space="preserve">. Penelitian terkait analisa OEE memiliki keunikan masing-masing dimana banyak studi kasus yang berbeda antara satu dengan yang lain. </w:t>
      </w:r>
      <w:r w:rsidR="00301C0D">
        <w:t xml:space="preserve">Namun, sebagian besar penelitian tersebut memberikan kesimpulan yang relatif sama dimana OEE merupakan metode yang mumpuni dalam analisa efektifitas sebuah peralatan di industri manufaktur </w:t>
      </w:r>
      <w:r w:rsidR="00301C0D">
        <w:fldChar w:fldCharType="begin" w:fldLock="1"/>
      </w:r>
      <w:r w:rsidR="00301C0D">
        <w:instrText>ADDIN CSL_CITATION {"citationItems":[{"id":"ITEM-1","itemData":{"DOI":"10.21107/agrointek.v17i3.15521","ISSN":"1907-8056","author":[{"dropping-particle":"","family":"Purnomo","given":"Bambang Herry","non-dropping-particle":"","parse-names":false,"suffix":""},{"dropping-particle":"","family":"Novijanto","given":"Noer","non-dropping-particle":"","parse-names":false,"suffix":""},{"dropping-particle":"","family":"Maeline","given":"Fikria Silfa","non-dropping-particle":"","parse-names":false,"suffix":""}],"container-title":"Agrointek : Jurnal Teknologi Industri Pertanian","id":"ITEM-1","issue":"3","issued":{"date-parts":[["2023"]]},"page":"684-694","title":"Peningkatan overall equipment effectiveness (OEE) mesin grinding pada produksi cokelat bubuk di PT ABC","type":"article-journal","volume":"17"},"uris":["http://www.mendeley.com/documents/?uuid=3a00b515-036d-409d-bf4f-1baabf9322fa"]},{"id":"ITEM-2","itemData":{"abstract":"taker in putus dengan RPN sebesar 200, cylinder macet, coiler error, flat doffer cacat, roller doffer, pulley com macet dengan RPN sebesar 140, disco kurang pelumas RPN sebesar 112. Kata Kunci: Overall Equipment Effectiveness (OEE), dan Failure Mode and Effect Analysis (FMEA), RPN.","author":[{"dropping-particle":"","family":"Herwindo","given":"","non-dropping-particle":"","parse-names":false,"suffix":""},{"dropping-particle":"","family":"Rahman","given":"Arif","non-dropping-particle":"","parse-names":false,"suffix":""},{"dropping-particle":"","family":"Yuniarti","given":"Rahmi","non-dropping-particle":"","parse-names":false,"suffix":""}],"container-title":"Jurnal Rekayasa dan Manajemen Sistem Industri","id":"ITEM-2","issue":"5","issued":{"date-parts":[["2014"]]},"page":"919-928","title":"PENGUKURAN OVERALL EQUIPMENT EFFECTIVENESS (OEE) SEBAGAI UPAYA MENINGKATKAN NILAI EFEKTIVITAS MESIN CARDING (Studi kasus: PT. XYZ) MEASUREMENT OVERALL EQUIPMENT EFFECTIVENESS (OEE) TO INCREASE VALUE OF CARDING EFFECTIVENESS (Case Study: PT. XYZ)","type":"article-journal","volume":"2"},"uris":["http://www.mendeley.com/documents/?uuid=c3a0f0e0-361f-439e-b82b-c6c042767661"]},{"id":"ITEM-3","itemData":{"DOI":"10.55826/tmit.v1iii.10","ISSN":"2829-0232","abstract":"PT. Lutvindo Wijaya Perkasa merupakan salah satu perusahaan yang bergerak dalam bidang industri manufacture. Adapun jenis produk yang diproduksi oleh PT. Lutvindo Wijaya Perkasa di antaranya beton dan aspal. Permasalahan yang terjadi pada perusahaan ini ialah kurangnya perawatan mesin yang menyebabkan banyaknya waktu delay sehiingga mesin tidak bekerja secara optimal. Metode penelitian yang digunakan ialah Metode Overall Equipment Effectiveness (OEE). Overall Equipment Effectiveness (OEE) adalah nilai dari besarnya efektivitas yang dimiliki oleh sebuah peralatan atau mesin. OEE dapat dihitung dengan mengukur availabilitas dari mesin/peralatan, efisiensi proses kinerja dari proses dan rate dari mutu suatu produk. Berdasarkan penelitian yang telah dilakukan, maka dapat di simpulkan bahwa nilai OEE yang di dapatkan pada mesin Batching Plant yaitu 80,45%, sedangkan untuk standar OEE internasional yaitu 85% sehingga perlu adanya perbaikan. Faktor yang menjadi prioritas perbaikan yaitu performance atau kinerja mesin dalam memproduksi beton, karena nilai performance merupakan nilai terendah dari tiga faktor yang mempengaruhi nilai OEE.   Kata Kunci: Efektivitas, Mesin, Overall Equipment Effectiveness (OEE)","author":[{"dropping-particle":"","family":"Hadi Ariyah","given":"","non-dropping-particle":"","parse-names":false,"suffix":""}],"container-title":"Jurnal Teknologi dan Manajemen Industri Terapan","id":"ITEM-3","issue":"2","issued":{"date-parts":[["2022"]]},"page":"70-77","title":"Penerapan Metode Overall Equipment Effectiveness (OEE) Dalam Peningkatan Efisiensi Mesin Batching Plant (Studi Kasus : PT. Lutvindo Wijaya Perkasa)","type":"article-journal","volume":"1"},"uris":["http://www.mendeley.com/documents/?uuid=8b743b78-ed6b-4be8-b2bd-8f7dde344b0c"]}],"mendeley":{"formattedCitation":"[4], [5], [6]","plainTextFormattedCitation":"[4], [5], [6]","previouslyFormattedCitation":"[4], [5], [6]"},"properties":{"noteIndex":0},"schema":"https://github.com/citation-style-language/schema/raw/master/csl-citation.json"}</w:instrText>
      </w:r>
      <w:r w:rsidR="00301C0D">
        <w:fldChar w:fldCharType="separate"/>
      </w:r>
      <w:r w:rsidR="00301C0D" w:rsidRPr="00301C0D">
        <w:rPr>
          <w:noProof/>
        </w:rPr>
        <w:t>[4], [5], [6]</w:t>
      </w:r>
      <w:r w:rsidR="00301C0D">
        <w:fldChar w:fldCharType="end"/>
      </w:r>
      <w:r w:rsidR="00301C0D">
        <w:t xml:space="preserve">. Literatur lain yang mengambil studi kasus hampir mirip dengan penelitian ini yaitu pada industri pembuatan baterai mengemukakan sebuah temuan bahwa analisa OEE dapat memberikan rekomendasi untuk mengurangi </w:t>
      </w:r>
      <w:r w:rsidR="00301C0D" w:rsidRPr="00C37187">
        <w:rPr>
          <w:i/>
          <w:iCs/>
        </w:rPr>
        <w:t>bottleneck</w:t>
      </w:r>
      <w:r w:rsidR="00301C0D">
        <w:t xml:space="preserve"> pada industri baterai tersebut </w:t>
      </w:r>
      <w:r w:rsidR="00301C0D">
        <w:fldChar w:fldCharType="begin" w:fldLock="1"/>
      </w:r>
      <w:r w:rsidR="00001008">
        <w:instrText>ADDIN CSL_CITATION {"citationItems":[{"id":"ITEM-1","itemData":{"abstract":"… The number of factories is increasing as the demand pushes for renewable energy to widen … relevant literatures which deals in Overall equipment effectiveness (OEE) and related areas. …","author":[{"dropping-particle":"","family":"Sahu","given":"A","non-dropping-particle":"","parse-names":false,"suffix":""},{"dropping-particle":"","family":"Kumar","given":"A","non-dropping-particle":"","parse-names":false,"suffix":""}],"id":"ITEM-1","issued":{"date-parts":[["2023"]]},"title":"Calculation and Analysis of Overall Equipment Efficiency (OEE): A study on battery manufacturing industry","type":"article-journal"},"uris":["http://www.mendeley.com/documents/?uuid=cf24d53e-bbc3-4c3b-a289-59201fe54cad"]}],"mendeley":{"formattedCitation":"[7]","plainTextFormattedCitation":"[7]","previouslyFormattedCitation":"[7]"},"properties":{"noteIndex":0},"schema":"https://github.com/citation-style-language/schema/raw/master/csl-citation.json"}</w:instrText>
      </w:r>
      <w:r w:rsidR="00301C0D">
        <w:fldChar w:fldCharType="separate"/>
      </w:r>
      <w:r w:rsidR="00301C0D" w:rsidRPr="00301C0D">
        <w:rPr>
          <w:noProof/>
        </w:rPr>
        <w:t>[7]</w:t>
      </w:r>
      <w:r w:rsidR="00301C0D">
        <w:fldChar w:fldCharType="end"/>
      </w:r>
      <w:r w:rsidR="00301C0D">
        <w:t xml:space="preserve">. Yang menjadikan penelitian pada paper ini berbeda dengan literatur tersebut adalah bahwa studi kasus yang diambil pada penelitian ini adalah khusus untuk mesin </w:t>
      </w:r>
      <w:r w:rsidR="00301C0D" w:rsidRPr="00471424">
        <w:rPr>
          <w:i/>
          <w:iCs/>
        </w:rPr>
        <w:t>ball mill</w:t>
      </w:r>
      <w:r w:rsidR="00301C0D">
        <w:t xml:space="preserve"> yang digunakan pada industri produksi baterai. Selain itu analisa OEE pada paper ini digunakan sebagai pe</w:t>
      </w:r>
      <w:r w:rsidR="003C5F86">
        <w:t xml:space="preserve">rancangan sistem </w:t>
      </w:r>
      <w:r w:rsidR="003C5F86" w:rsidRPr="00471424">
        <w:rPr>
          <w:i/>
          <w:iCs/>
        </w:rPr>
        <w:t>predictive maintenance</w:t>
      </w:r>
      <w:r w:rsidR="003C5F86">
        <w:t xml:space="preserve"> untuk mesin </w:t>
      </w:r>
      <w:r w:rsidR="003C5F86" w:rsidRPr="00471424">
        <w:rPr>
          <w:i/>
          <w:iCs/>
        </w:rPr>
        <w:t>ball mill</w:t>
      </w:r>
      <w:r w:rsidR="003C5F86">
        <w:t>.</w:t>
      </w:r>
    </w:p>
    <w:p w14:paraId="14F5270E" w14:textId="77777777" w:rsidR="004D5BB1" w:rsidRDefault="004D5BB1" w:rsidP="006964BA"/>
    <w:p w14:paraId="1BE80786" w14:textId="77777777" w:rsidR="00A761AD" w:rsidRDefault="00A761AD" w:rsidP="00E27B43">
      <w:pPr>
        <w:pStyle w:val="Heading1"/>
      </w:pPr>
      <w:r>
        <w:t>2. Metode Penelitian</w:t>
      </w:r>
    </w:p>
    <w:p w14:paraId="49E9CB59" w14:textId="27BB659B" w:rsidR="00301C0D" w:rsidRDefault="00301C0D" w:rsidP="00C217C6">
      <w:pPr>
        <w:pStyle w:val="Paragraph"/>
      </w:pPr>
      <w:r>
        <w:t xml:space="preserve">Penelitian ini dilakukan </w:t>
      </w:r>
      <w:r w:rsidR="003C5F86">
        <w:t xml:space="preserve">dengan mengambil studi kasus penggunaan </w:t>
      </w:r>
      <w:r w:rsidR="003C5F86" w:rsidRPr="003C5F86">
        <w:rPr>
          <w:i/>
          <w:iCs/>
        </w:rPr>
        <w:t>lead lump</w:t>
      </w:r>
      <w:r w:rsidR="003C5F86">
        <w:t xml:space="preserve"> pada industri produsen baterai. Metode penelitian yang digunakan dalam penelitian ini antara lain: (i) Pengumpulan data, </w:t>
      </w:r>
      <w:r w:rsidR="000F235D">
        <w:t xml:space="preserve">meliputi data </w:t>
      </w:r>
      <w:r w:rsidR="000F235D" w:rsidRPr="00A25CC6">
        <w:rPr>
          <w:i/>
          <w:iCs/>
        </w:rPr>
        <w:t>ideal cycle time</w:t>
      </w:r>
      <w:r w:rsidR="000F235D">
        <w:t xml:space="preserve"> yaitu waktu optimal yang diperlukan oleh lini produksi untuk menghasilkan 1 kg lead powder dengan standar ideal cycle time 0,07905 menit/kg. Data lain berupa total count yaitu akumulasi jumlah produk yang diproses oleh mesin ball mill dalam satu hari. Selain itu ada pula data cacat dimana merupakan data produk yang tidak sesuai denga kualifikasi yang ditentukan. (ii) Perancangan sistem pemantauan berkala, dimana meliputi rancangan sistem monitoring, pemrograman PLC serta pembuatan HMI. (iii) Pengujian dan analisa OEE. </w:t>
      </w:r>
    </w:p>
    <w:p w14:paraId="59F2CAA4" w14:textId="5CA949D6" w:rsidR="00964578" w:rsidRDefault="000F235D" w:rsidP="00C217C6">
      <w:pPr>
        <w:pStyle w:val="Paragraph"/>
      </w:pPr>
      <w:r>
        <w:t>Terdapat 3 faktor utama yang mempengaruhi nilai OEE yaitu: availability, performance dan quality</w:t>
      </w:r>
      <w:r w:rsidR="00001008">
        <w:t xml:space="preserve"> </w:t>
      </w:r>
      <w:r w:rsidR="00001008">
        <w:fldChar w:fldCharType="begin" w:fldLock="1"/>
      </w:r>
      <w:r w:rsidR="00964578">
        <w:instrText>ADDIN CSL_CITATION {"citationItems":[{"id":"ITEM-1","itemData":{"DOI":"10.3390/pr8121648","ISSN":"22279717","abstract":"The article presents the problems connected with the performance evaluation of a flexible production system in the context of designing and integrating production and logistics subsystems. The goal of the performed analysis was to determine the parameters that have the most significant influence on the productivity of the whole system. The possibilities of using automated machine tools, automatic transport vehicles, as well as automated storage systems were pointed out. Moreover, the exemplary models are described, and the framework of simulation research related to the conceptual design of new production systems are indicated. In order to evaluate the system’s productivity, the use of Overall Equipment Efficiency (OEE) metrics was proposed, which is typically used for stationary resources such as machines. This paper aims to prove the hypothesis that the OEE metric can also be used for transport facilities such as Automated Guided Vehicles (AGVs). The developed models include the parameters regarding availability and failure of AGVs as well as production efficiency and quality, which allows the more accurate mapping of manufacturing processes. As the result, the Overall Factory Efficiency (OFE) and Overall Transport Efficiency (OTE) metrics were obtained. The obtained outcomes can be directly related to similar production systems that belong to World Class Manufacturing (WCM) or World Class Logistics (WCL), leading to the in-depth planning of such systems and their further improvement in the context of the Industry 4.0.","author":[{"dropping-particle":"","family":"Foit","given":"Krzysztof","non-dropping-particle":"","parse-names":false,"suffix":""},{"dropping-particle":"","family":"Gołda","given":"Grzegorz","non-dropping-particle":"","parse-names":false,"suffix":""},{"dropping-particle":"","family":"Kampa","given":"Adrian","non-dropping-particle":"","parse-names":false,"suffix":""}],"container-title":"Processes","id":"ITEM-1","issue":"12","issued":{"date-parts":[["2020"]]},"page":"1-15","title":"Integration and evaluation of intra-logistics processes in flexible production systems based on oee metrics, with the use of computer modelling and simulation of agvs","type":"article-journal","volume":"8"},"uris":["http://www.mendeley.com/documents/?uuid=d70c0efd-4b33-4294-982f-ddc04045dab9"]}],"mendeley":{"formattedCitation":"[8]","plainTextFormattedCitation":"[8]","previouslyFormattedCitation":"[8]"},"properties":{"noteIndex":0},"schema":"https://github.com/citation-style-language/schema/raw/master/csl-citation.json"}</w:instrText>
      </w:r>
      <w:r w:rsidR="00001008">
        <w:fldChar w:fldCharType="separate"/>
      </w:r>
      <w:r w:rsidR="00001008" w:rsidRPr="00001008">
        <w:rPr>
          <w:noProof/>
        </w:rPr>
        <w:t>[8]</w:t>
      </w:r>
      <w:r w:rsidR="00001008">
        <w:fldChar w:fldCharType="end"/>
      </w:r>
      <w:r>
        <w:t xml:space="preserve">. </w:t>
      </w:r>
      <w:r w:rsidR="00964578">
        <w:t>Availability adalah perbandingan waktu yang dihabiskan untuk merealisasikan su</w:t>
      </w:r>
      <w:r w:rsidR="00294251">
        <w:t>atu tugas terhadap waktu yang dijadwalkan dinyatakan dalam</w:t>
      </w:r>
      <w:r w:rsidR="00964578">
        <w:t xml:space="preserve"> </w:t>
      </w:r>
      <w:r w:rsidR="00001008">
        <w:t>Persamaan (1)</w:t>
      </w:r>
      <w:r w:rsidR="00294251">
        <w:t xml:space="preserve"> </w:t>
      </w:r>
      <w:r w:rsidR="00294251">
        <w:fldChar w:fldCharType="begin" w:fldLock="1"/>
      </w:r>
      <w:r w:rsidR="00A25CC6">
        <w:instrText>ADDIN CSL_CITATION {"citationItems":[{"id":"ITEM-1","itemData":{"DOI":"10.3390/pr8121648","ISSN":"22279717","abstract":"The article presents the problems connected with the performance evaluation of a flexible production system in the context of designing and integrating production and logistics subsystems. The goal of the performed analysis was to determine the parameters that have the most significant influence on the productivity of the whole system. The possibilities of using automated machine tools, automatic transport vehicles, as well as automated storage systems were pointed out. Moreover, the exemplary models are described, and the framework of simulation research related to the conceptual design of new production systems are indicated. In order to evaluate the system’s productivity, the use of Overall Equipment Efficiency (OEE) metrics was proposed, which is typically used for stationary resources such as machines. This paper aims to prove the hypothesis that the OEE metric can also be used for transport facilities such as Automated Guided Vehicles (AGVs). The developed models include the parameters regarding availability and failure of AGVs as well as production efficiency and quality, which allows the more accurate mapping of manufacturing processes. As the result, the Overall Factory Efficiency (OFE) and Overall Transport Efficiency (OTE) metrics were obtained. The obtained outcomes can be directly related to similar production systems that belong to World Class Manufacturing (WCM) or World Class Logistics (WCL), leading to the in-depth planning of such systems and their further improvement in the context of the Industry 4.0.","author":[{"dropping-particle":"","family":"Foit","given":"Krzysztof","non-dropping-particle":"","parse-names":false,"suffix":""},{"dropping-particle":"","family":"Gołda","given":"Grzegorz","non-dropping-particle":"","parse-names":false,"suffix":""},{"dropping-particle":"","family":"Kampa","given":"Adrian","non-dropping-particle":"","parse-names":false,"suffix":""}],"container-title":"Processes","id":"ITEM-1","issue":"12","issued":{"date-parts":[["2020"]]},"page":"1-15","title":"Integration and evaluation of intra-logistics processes in flexible production systems based on oee metrics, with the use of computer modelling and simulation of agvs","type":"article-journal","volume":"8"},"uris":["http://www.mendeley.com/documents/?uuid=d70c0efd-4b33-4294-982f-ddc04045dab9"]},{"id":"ITEM-2","itemData":{"DOI":"10.3390/su10093031","ISSN":"20711050","abstract":"Nowadays, small and medium sized enterprises (SMEs) are becoming increasingly competitive. In order to fulfill the rapidly changing market and diversified demands of customers, the SMEs need to achieve and maintain high productivity and quality, with fast response, sufficient flexibility, and short lead times. Therefore, Industry 4.0 offers various manufacturing paradigms that might be a solution in order to increase the productivity of SMEs such as intelligent and flexible manufacturing. Furthermore, in the last decade, the emphasis on adopting eco-friendly practices, implementing sustainability measures, and protecting the environment has continued to grow, to gain traction across SMEs. In fact, because of this need, many SMEs are now adopting sustainable manufacturing practices in response to this increased focus on sustainability and environmental stewardship. The main purpose of this paper is to design and study the implementation of a sustainable, intelligent material handling system for material distribution with utilizing an agent-based algorithm as control architecture. A time study-based methodology has been implemented to evaluate the overall equipment effectiveness (OEE) to identify the matters that need to be resolved and optimized to increase the OEE percentage with consideration of the sustainability of the system. An exhaustive analytical trend applied to the generated time study data. Accordingly, further hardware, software, and layout design limitation and problems detected, and the proper solutions were anticipated. The observed time study results were presented, a fundamental set of analytical observation and information with associated histograms was reviewed. In addition, the study aims to recognize and analyze effective factors on the sustainability of improved processes, using a simple model. To do this, using experts' viewpoints, affective factors on the sustainability of process improvement activities are determined.","author":[{"dropping-particle":"","family":"Yazdi","given":"Poorya Ghafoorpoor","non-dropping-particle":"","parse-names":false,"suffix":""},{"dropping-particle":"","family":"Azizi","given":"Aydin","non-dropping-particle":"","parse-names":false,"suffix":""},{"dropping-particle":"","family":"Hashemipour","given":"Majid","non-dropping-particle":"","parse-names":false,"suffix":""}],"container-title":"Sustainability (Switzerland)","id":"ITEM-2","issue":"9","issued":{"date-parts":[["2018"]]},"title":"An empirical investigation of the relationship between overall equipment efficiency (OEE) and manufacturing sustainability in industry 4.0 with time study approach","type":"article-journal","volume":"10"},"uris":["http://www.mendeley.com/documents/?uuid=dfef7326-6ad3-48fc-b178-0f5969097191"]}],"mendeley":{"formattedCitation":"[8], [9]","plainTextFormattedCitation":"[8], [9]","previouslyFormattedCitation":"[8], [9]"},"properties":{"noteIndex":0},"schema":"https://github.com/citation-style-language/schema/raw/master/csl-citation.json"}</w:instrText>
      </w:r>
      <w:r w:rsidR="00294251">
        <w:fldChar w:fldCharType="separate"/>
      </w:r>
      <w:r w:rsidR="00294251" w:rsidRPr="00294251">
        <w:rPr>
          <w:noProof/>
        </w:rPr>
        <w:t>[8], [9]</w:t>
      </w:r>
      <w:r w:rsidR="00294251">
        <w:fldChar w:fldCharType="end"/>
      </w:r>
      <w:r w:rsidR="00294251">
        <w:t>.</w:t>
      </w:r>
      <w:r w:rsidR="00964578">
        <w:t xml:space="preserve"> </w:t>
      </w:r>
      <w:r w:rsidR="00A25CC6">
        <w:t xml:space="preserve">Persamaan (2) menyatakan nilai performance yaitu rasio waktu untuk menyelesaikan tugas dalam kondisi ideal dibandingkan dengan realisasi dalam kondisi nyata </w:t>
      </w:r>
      <w:r w:rsidR="00A25CC6">
        <w:fldChar w:fldCharType="begin" w:fldLock="1"/>
      </w:r>
      <w:r w:rsidR="00A161A5">
        <w:instrText>ADDIN CSL_CITATION {"citationItems":[{"id":"ITEM-1","itemData":{"DOI":"10.3390/pr8121648","ISSN":"22279717","abstract":"The article presents the problems connected with the performance evaluation of a flexible production system in the context of designing and integrating production and logistics subsystems. The goal of the performed analysis was to determine the parameters that have the most significant influence on the productivity of the whole system. The possibilities of using automated machine tools, automatic transport vehicles, as well as automated storage systems were pointed out. Moreover, the exemplary models are described, and the framework of simulation research related to the conceptual design of new production systems are indicated. In order to evaluate the system’s productivity, the use of Overall Equipment Efficiency (OEE) metrics was proposed, which is typically used for stationary resources such as machines. This paper aims to prove the hypothesis that the OEE metric can also be used for transport facilities such as Automated Guided Vehicles (AGVs). The developed models include the parameters regarding availability and failure of AGVs as well as production efficiency and quality, which allows the more accurate mapping of manufacturing processes. As the result, the Overall Factory Efficiency (OFE) and Overall Transport Efficiency (OTE) metrics were obtained. The obtained outcomes can be directly related to similar production systems that belong to World Class Manufacturing (WCM) or World Class Logistics (WCL), leading to the in-depth planning of such systems and their further improvement in the context of the Industry 4.0.","author":[{"dropping-particle":"","family":"Foit","given":"Krzysztof","non-dropping-particle":"","parse-names":false,"suffix":""},{"dropping-particle":"","family":"Gołda","given":"Grzegorz","non-dropping-particle":"","parse-names":false,"suffix":""},{"dropping-particle":"","family":"Kampa","given":"Adrian","non-dropping-particle":"","parse-names":false,"suffix":""}],"container-title":"Processes","id":"ITEM-1","issue":"12","issued":{"date-parts":[["2020"]]},"page":"1-15","title":"Integration and evaluation of intra-logistics processes in flexible production systems based on oee metrics, with the use of computer modelling and simulation of agvs","type":"article-journal","volume":"8"},"uris":["http://www.mendeley.com/documents/?uuid=d70c0efd-4b33-4294-982f-ddc04045dab9"]},{"id":"ITEM-2","itemData":{"DOI":"10.3390/su10093031","ISSN":"20711050","abstract":"Nowadays, small and medium sized enterprises (SMEs) are becoming increasingly competitive. In order to fulfill the rapidly changing market and diversified demands of customers, the SMEs need to achieve and maintain high productivity and quality, with fast response, sufficient flexibility, and short lead times. Therefore, Industry 4.0 offers various manufacturing paradigms that might be a solution in order to increase the productivity of SMEs such as intelligent and flexible manufacturing. Furthermore, in the last decade, the emphasis on adopting eco-friendly practices, implementing sustainability measures, and protecting the environment has continued to grow, to gain traction across SMEs. In fact, because of this need, many SMEs are now adopting sustainable manufacturing practices in response to this increased focus on sustainability and environmental stewardship. The main purpose of this paper is to design and study the implementation of a sustainable, intelligent material handling system for material distribution with utilizing an agent-based algorithm as control architecture. A time study-based methodology has been implemented to evaluate the overall equipment effectiveness (OEE) to identify the matters that need to be resolved and optimized to increase the OEE percentage with consideration of the sustainability of the system. An exhaustive analytical trend applied to the generated time study data. Accordingly, further hardware, software, and layout design limitation and problems detected, and the proper solutions were anticipated. The observed time study results were presented, a fundamental set of analytical observation and information with associated histograms was reviewed. In addition, the study aims to recognize and analyze effective factors on the sustainability of improved processes, using a simple model. To do this, using experts' viewpoints, affective factors on the sustainability of process improvement activities are determined.","author":[{"dropping-particle":"","family":"Yazdi","given":"Poorya Ghafoorpoor","non-dropping-particle":"","parse-names":false,"suffix":""},{"dropping-particle":"","family":"Azizi","given":"Aydin","non-dropping-particle":"","parse-names":false,"suffix":""},{"dropping-particle":"","family":"Hashemipour","given":"Majid","non-dropping-particle":"","parse-names":false,"suffix":""}],"container-title":"Sustainability (Switzerland)","id":"ITEM-2","issue":"9","issued":{"date-parts":[["2018"]]},"title":"An empirical investigation of the relationship between overall equipment efficiency (OEE) and manufacturing sustainability in industry 4.0 with time study approach","type":"article-journal","volume":"10"},"uris":["http://www.mendeley.com/documents/?uuid=dfef7326-6ad3-48fc-b178-0f5969097191"]}],"mendeley":{"formattedCitation":"[8], [9]","plainTextFormattedCitation":"[8], [9]","previouslyFormattedCitation":"[8], [9]"},"properties":{"noteIndex":0},"schema":"https://github.com/citation-style-language/schema/raw/master/csl-citation.json"}</w:instrText>
      </w:r>
      <w:r w:rsidR="00A25CC6">
        <w:fldChar w:fldCharType="separate"/>
      </w:r>
      <w:r w:rsidR="00A25CC6" w:rsidRPr="00A25CC6">
        <w:rPr>
          <w:noProof/>
        </w:rPr>
        <w:t>[8], [9]</w:t>
      </w:r>
      <w:r w:rsidR="00A25CC6">
        <w:fldChar w:fldCharType="end"/>
      </w:r>
      <w:r w:rsidR="00A25CC6">
        <w:t xml:space="preserve">. </w:t>
      </w:r>
      <w:r w:rsidR="00A161A5">
        <w:t xml:space="preserve">Nilai quality dinyatakan dalam Persamaan (3) dimana merupakan nilai perbandingan antara produk berkualitas standar dengan jumlah total produk yang dihasilkan </w:t>
      </w:r>
      <w:r w:rsidR="00A161A5">
        <w:fldChar w:fldCharType="begin" w:fldLock="1"/>
      </w:r>
      <w:r w:rsidR="00A161A5">
        <w:instrText>ADDIN CSL_CITATION {"citationItems":[{"id":"ITEM-1","itemData":{"DOI":"10.3390/pr8121648","ISSN":"22279717","abstract":"The article presents the problems connected with the performance evaluation of a flexible production system in the context of designing and integrating production and logistics subsystems. The goal of the performed analysis was to determine the parameters that have the most significant influence on the productivity of the whole system. The possibilities of using automated machine tools, automatic transport vehicles, as well as automated storage systems were pointed out. Moreover, the exemplary models are described, and the framework of simulation research related to the conceptual design of new production systems are indicated. In order to evaluate the system’s productivity, the use of Overall Equipment Efficiency (OEE) metrics was proposed, which is typically used for stationary resources such as machines. This paper aims to prove the hypothesis that the OEE metric can also be used for transport facilities such as Automated Guided Vehicles (AGVs). The developed models include the parameters regarding availability and failure of AGVs as well as production efficiency and quality, which allows the more accurate mapping of manufacturing processes. As the result, the Overall Factory Efficiency (OFE) and Overall Transport Efficiency (OTE) metrics were obtained. The obtained outcomes can be directly related to similar production systems that belong to World Class Manufacturing (WCM) or World Class Logistics (WCL), leading to the in-depth planning of such systems and their further improvement in the context of the Industry 4.0.","author":[{"dropping-particle":"","family":"Foit","given":"Krzysztof","non-dropping-particle":"","parse-names":false,"suffix":""},{"dropping-particle":"","family":"Gołda","given":"Grzegorz","non-dropping-particle":"","parse-names":false,"suffix":""},{"dropping-particle":"","family":"Kampa","given":"Adrian","non-dropping-particle":"","parse-names":false,"suffix":""}],"container-title":"Processes","id":"ITEM-1","issue":"12","issued":{"date-parts":[["2020"]]},"page":"1-15","title":"Integration and evaluation of intra-logistics processes in flexible production systems based on oee metrics, with the use of computer modelling and simulation of agvs","type":"article-journal","volume":"8"},"uris":["http://www.mendeley.com/documents/?uuid=d70c0efd-4b33-4294-982f-ddc04045dab9"]},{"id":"ITEM-2","itemData":{"DOI":"10.3390/su10093031","ISSN":"20711050","abstract":"Nowadays, small and medium sized enterprises (SMEs) are becoming increasingly competitive. In order to fulfill the rapidly changing market and diversified demands of customers, the SMEs need to achieve and maintain high productivity and quality, with fast response, sufficient flexibility, and short lead times. Therefore, Industry 4.0 offers various manufacturing paradigms that might be a solution in order to increase the productivity of SMEs such as intelligent and flexible manufacturing. Furthermore, in the last decade, the emphasis on adopting eco-friendly practices, implementing sustainability measures, and protecting the environment has continued to grow, to gain traction across SMEs. In fact, because of this need, many SMEs are now adopting sustainable manufacturing practices in response to this increased focus on sustainability and environmental stewardship. The main purpose of this paper is to design and study the implementation of a sustainable, intelligent material handling system for material distribution with utilizing an agent-based algorithm as control architecture. A time study-based methodology has been implemented to evaluate the overall equipment effectiveness (OEE) to identify the matters that need to be resolved and optimized to increase the OEE percentage with consideration of the sustainability of the system. An exhaustive analytical trend applied to the generated time study data. Accordingly, further hardware, software, and layout design limitation and problems detected, and the proper solutions were anticipated. The observed time study results were presented, a fundamental set of analytical observation and information with associated histograms was reviewed. In addition, the study aims to recognize and analyze effective factors on the sustainability of improved processes, using a simple model. To do this, using experts' viewpoints, affective factors on the sustainability of process improvement activities are determined.","author":[{"dropping-particle":"","family":"Yazdi","given":"Poorya Ghafoorpoor","non-dropping-particle":"","parse-names":false,"suffix":""},{"dropping-particle":"","family":"Azizi","given":"Aydin","non-dropping-particle":"","parse-names":false,"suffix":""},{"dropping-particle":"","family":"Hashemipour","given":"Majid","non-dropping-particle":"","parse-names":false,"suffix":""}],"container-title":"Sustainability (Switzerland)","id":"ITEM-2","issue":"9","issued":{"date-parts":[["2018"]]},"title":"An empirical investigation of the relationship between overall equipment efficiency (OEE) and manufacturing sustainability in industry 4.0 with time study approach","type":"article-journal","volume":"10"},"uris":["http://www.mendeley.com/documents/?uuid=dfef7326-6ad3-48fc-b178-0f5969097191"]}],"mendeley":{"formattedCitation":"[8], [9]","plainTextFormattedCitation":"[8], [9]","previouslyFormattedCitation":"[8], [9]"},"properties":{"noteIndex":0},"schema":"https://github.com/citation-style-language/schema/raw/master/csl-citation.json"}</w:instrText>
      </w:r>
      <w:r w:rsidR="00A161A5">
        <w:fldChar w:fldCharType="separate"/>
      </w:r>
      <w:r w:rsidR="00A161A5" w:rsidRPr="00A161A5">
        <w:rPr>
          <w:noProof/>
        </w:rPr>
        <w:t>[8], [9]</w:t>
      </w:r>
      <w:r w:rsidR="00A161A5">
        <w:fldChar w:fldCharType="end"/>
      </w:r>
      <w:r w:rsidR="00A161A5">
        <w:t>. Ket</w:t>
      </w:r>
      <w:r w:rsidR="00B526D6">
        <w:t>I</w:t>
      </w:r>
      <w:r w:rsidR="00A161A5">
        <w:t xml:space="preserve">ga persamaan tersebut kemudian disimpulkan dalam sebuah nilai OEE yang dinyatakan pada Persamaan (4) </w:t>
      </w:r>
      <w:r w:rsidR="00A161A5">
        <w:fldChar w:fldCharType="begin" w:fldLock="1"/>
      </w:r>
      <w:r w:rsidR="00040146">
        <w:instrText>ADDIN CSL_CITATION {"citationItems":[{"id":"ITEM-1","itemData":{"DOI":"10.3390/pr8121648","ISSN":"22279717","abstract":"The article presents the problems connected with the performance evaluation of a flexible production system in the context of designing and integrating production and logistics subsystems. The goal of the performed analysis was to determine the parameters that have the most significant influence on the productivity of the whole system. The possibilities of using automated machine tools, automatic transport vehicles, as well as automated storage systems were pointed out. Moreover, the exemplary models are described, and the framework of simulation research related to the conceptual design of new production systems are indicated. In order to evaluate the system’s productivity, the use of Overall Equipment Efficiency (OEE) metrics was proposed, which is typically used for stationary resources such as machines. This paper aims to prove the hypothesis that the OEE metric can also be used for transport facilities such as Automated Guided Vehicles (AGVs). The developed models include the parameters regarding availability and failure of AGVs as well as production efficiency and quality, which allows the more accurate mapping of manufacturing processes. As the result, the Overall Factory Efficiency (OFE) and Overall Transport Efficiency (OTE) metrics were obtained. The obtained outcomes can be directly related to similar production systems that belong to World Class Manufacturing (WCM) or World Class Logistics (WCL), leading to the in-depth planning of such systems and their further improvement in the context of the Industry 4.0.","author":[{"dropping-particle":"","family":"Foit","given":"Krzysztof","non-dropping-particle":"","parse-names":false,"suffix":""},{"dropping-particle":"","family":"Gołda","given":"Grzegorz","non-dropping-particle":"","parse-names":false,"suffix":""},{"dropping-particle":"","family":"Kampa","given":"Adrian","non-dropping-particle":"","parse-names":false,"suffix":""}],"container-title":"Processes","id":"ITEM-1","issue":"12","issued":{"date-parts":[["2020"]]},"page":"1-15","title":"Integration and evaluation of intra-logistics processes in flexible production systems based on oee metrics, with the use of computer modelling and simulation of agvs","type":"article-journal","volume":"8"},"uris":["http://www.mendeley.com/documents/?uuid=d70c0efd-4b33-4294-982f-ddc04045dab9"]},{"id":"ITEM-2","itemData":{"DOI":"10.3390/su10093031","ISSN":"20711050","abstract":"Nowadays, small and medium sized enterprises (SMEs) are becoming increasingly competitive. In order to fulfill the rapidly changing market and diversified demands of customers, the SMEs need to achieve and maintain high productivity and quality, with fast response, sufficient flexibility, and short lead times. Therefore, Industry 4.0 offers various manufacturing paradigms that might be a solution in order to increase the productivity of SMEs such as intelligent and flexible manufacturing. Furthermore, in the last decade, the emphasis on adopting eco-friendly practices, implementing sustainability measures, and protecting the environment has continued to grow, to gain traction across SMEs. In fact, because of this need, many SMEs are now adopting sustainable manufacturing practices in response to this increased focus on sustainability and environmental stewardship. The main purpose of this paper is to design and study the implementation of a sustainable, intelligent material handling system for material distribution with utilizing an agent-based algorithm as control architecture. A time study-based methodology has been implemented to evaluate the overall equipment effectiveness (OEE) to identify the matters that need to be resolved and optimized to increase the OEE percentage with consideration of the sustainability of the system. An exhaustive analytical trend applied to the generated time study data. Accordingly, further hardware, software, and layout design limitation and problems detected, and the proper solutions were anticipated. The observed time study results were presented, a fundamental set of analytical observation and information with associated histograms was reviewed. In addition, the study aims to recognize and analyze effective factors on the sustainability of improved processes, using a simple model. To do this, using experts' viewpoints, affective factors on the sustainability of process improvement activities are determined.","author":[{"dropping-particle":"","family":"Yazdi","given":"Poorya Ghafoorpoor","non-dropping-particle":"","parse-names":false,"suffix":""},{"dropping-particle":"","family":"Azizi","given":"Aydin","non-dropping-particle":"","parse-names":false,"suffix":""},{"dropping-particle":"","family":"Hashemipour","given":"Majid","non-dropping-particle":"","parse-names":false,"suffix":""}],"container-title":"Sustainability (Switzerland)","id":"ITEM-2","issue":"9","issued":{"date-parts":[["2018"]]},"title":"An empirical investigation of the relationship between overall equipment efficiency (OEE) and manufacturing sustainability in industry 4.0 with time study approach","type":"article-journal","volume":"10"},"uris":["http://www.mendeley.com/documents/?uuid=dfef7326-6ad3-48fc-b178-0f5969097191"]}],"mendeley":{"formattedCitation":"[8], [9]","plainTextFormattedCitation":"[8], [9]","previouslyFormattedCitation":"[8], [9]"},"properties":{"noteIndex":0},"schema":"https://github.com/citation-style-language/schema/raw/master/csl-citation.json"}</w:instrText>
      </w:r>
      <w:r w:rsidR="00A161A5">
        <w:fldChar w:fldCharType="separate"/>
      </w:r>
      <w:r w:rsidR="00A161A5" w:rsidRPr="00A161A5">
        <w:rPr>
          <w:noProof/>
        </w:rPr>
        <w:t>[8], [9]</w:t>
      </w:r>
      <w:r w:rsidR="00A161A5">
        <w:fldChar w:fldCharType="end"/>
      </w:r>
      <w:r w:rsidR="00A161A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4"/>
      </w:tblGrid>
      <w:tr w:rsidR="00964578" w14:paraId="05131236" w14:textId="77777777" w:rsidTr="001B3A24">
        <w:tc>
          <w:tcPr>
            <w:tcW w:w="8217" w:type="dxa"/>
            <w:vAlign w:val="center"/>
          </w:tcPr>
          <w:p w14:paraId="039915E7" w14:textId="5D3904AB" w:rsidR="00964578" w:rsidRPr="00964578" w:rsidRDefault="00964578" w:rsidP="00964578">
            <w:pPr>
              <w:pStyle w:val="Paragraph"/>
              <w:ind w:firstLine="0"/>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RT</m:t>
                    </m:r>
                  </m:num>
                  <m:den>
                    <m:r>
                      <w:rPr>
                        <w:rFonts w:ascii="Cambria Math" w:hAnsi="Cambria Math"/>
                      </w:rPr>
                      <m:t>PP</m:t>
                    </m:r>
                  </m:den>
                </m:f>
                <m:r>
                  <w:rPr>
                    <w:rFonts w:ascii="Cambria Math" w:hAnsi="Cambria Math"/>
                  </w:rPr>
                  <m:t>×100%=</m:t>
                </m:r>
                <m:f>
                  <m:fPr>
                    <m:ctrlPr>
                      <w:rPr>
                        <w:rFonts w:ascii="Cambria Math" w:hAnsi="Cambria Math"/>
                        <w:i/>
                      </w:rPr>
                    </m:ctrlPr>
                  </m:fPr>
                  <m:num>
                    <m:r>
                      <w:rPr>
                        <w:rFonts w:ascii="Cambria Math" w:hAnsi="Cambria Math"/>
                      </w:rPr>
                      <m:t>PP-D</m:t>
                    </m:r>
                  </m:num>
                  <m:den>
                    <m:r>
                      <w:rPr>
                        <w:rFonts w:ascii="Cambria Math" w:hAnsi="Cambria Math"/>
                      </w:rPr>
                      <m:t>PP</m:t>
                    </m:r>
                  </m:den>
                </m:f>
                <m:r>
                  <w:rPr>
                    <w:rFonts w:ascii="Cambria Math" w:hAnsi="Cambria Math"/>
                  </w:rPr>
                  <m:t>×100%</m:t>
                </m:r>
              </m:oMath>
            </m:oMathPara>
          </w:p>
        </w:tc>
        <w:tc>
          <w:tcPr>
            <w:tcW w:w="844" w:type="dxa"/>
            <w:vAlign w:val="center"/>
          </w:tcPr>
          <w:p w14:paraId="22E9F970" w14:textId="317C66AA" w:rsidR="00964578" w:rsidRDefault="00964578" w:rsidP="00964578">
            <w:pPr>
              <w:pStyle w:val="Paragraph"/>
              <w:ind w:firstLine="0"/>
              <w:jc w:val="right"/>
            </w:pPr>
            <w:r>
              <w:t>(1)</w:t>
            </w:r>
          </w:p>
        </w:tc>
      </w:tr>
      <w:tr w:rsidR="00964578" w14:paraId="49C326A7" w14:textId="77777777" w:rsidTr="001B3A24">
        <w:tc>
          <w:tcPr>
            <w:tcW w:w="8217" w:type="dxa"/>
            <w:vAlign w:val="center"/>
          </w:tcPr>
          <w:p w14:paraId="6985F581" w14:textId="4B6029C9" w:rsidR="00964578" w:rsidRPr="00964578" w:rsidRDefault="00964578" w:rsidP="00964578">
            <w:pPr>
              <w:pStyle w:val="Paragraph"/>
              <w:ind w:firstLine="0"/>
            </w:pPr>
            <m:oMathPara>
              <m:oMathParaPr>
                <m:jc m:val="left"/>
              </m:oMathParaPr>
              <m:oMath>
                <m:r>
                  <w:rPr>
                    <w:rFonts w:ascii="Cambria Math" w:hAnsi="Cambria Math"/>
                  </w:rPr>
                  <m:t>P=</m:t>
                </m:r>
                <m:f>
                  <m:fPr>
                    <m:ctrlPr>
                      <w:rPr>
                        <w:rFonts w:ascii="Cambria Math" w:hAnsi="Cambria Math"/>
                        <w:i/>
                      </w:rPr>
                    </m:ctrlPr>
                  </m:fPr>
                  <m:num>
                    <m:r>
                      <w:rPr>
                        <w:rFonts w:ascii="Cambria Math" w:hAnsi="Cambria Math"/>
                      </w:rPr>
                      <m:t>ICT×TC</m:t>
                    </m:r>
                  </m:num>
                  <m:den>
                    <m:r>
                      <w:rPr>
                        <w:rFonts w:ascii="Cambria Math" w:hAnsi="Cambria Math"/>
                      </w:rPr>
                      <m:t>RT</m:t>
                    </m:r>
                  </m:den>
                </m:f>
                <m:r>
                  <w:rPr>
                    <w:rFonts w:ascii="Cambria Math" w:hAnsi="Cambria Math"/>
                  </w:rPr>
                  <m:t>×100%</m:t>
                </m:r>
              </m:oMath>
            </m:oMathPara>
          </w:p>
        </w:tc>
        <w:tc>
          <w:tcPr>
            <w:tcW w:w="844" w:type="dxa"/>
            <w:vAlign w:val="center"/>
          </w:tcPr>
          <w:p w14:paraId="53283D43" w14:textId="44460FD8" w:rsidR="00964578" w:rsidRDefault="00964578" w:rsidP="00964578">
            <w:pPr>
              <w:pStyle w:val="Paragraph"/>
              <w:ind w:firstLine="0"/>
              <w:jc w:val="right"/>
            </w:pPr>
            <w:r>
              <w:t>(2)</w:t>
            </w:r>
          </w:p>
        </w:tc>
      </w:tr>
      <w:tr w:rsidR="00964578" w14:paraId="59C1FEEA" w14:textId="77777777" w:rsidTr="001B3A24">
        <w:tc>
          <w:tcPr>
            <w:tcW w:w="8217" w:type="dxa"/>
            <w:vAlign w:val="center"/>
          </w:tcPr>
          <w:p w14:paraId="59EDBE05" w14:textId="375A1710" w:rsidR="00964578" w:rsidRPr="00C37187" w:rsidRDefault="00C37187" w:rsidP="00964578">
            <w:pPr>
              <w:pStyle w:val="Paragraph"/>
              <w:ind w:firstLine="0"/>
            </w:pPr>
            <m:oMathPara>
              <m:oMathParaPr>
                <m:jc m:val="left"/>
              </m:oMathParaPr>
              <m:oMath>
                <m:r>
                  <w:rPr>
                    <w:rFonts w:ascii="Cambria Math" w:hAnsi="Cambria Math"/>
                  </w:rPr>
                  <m:t>Q=</m:t>
                </m:r>
                <m:f>
                  <m:fPr>
                    <m:ctrlPr>
                      <w:rPr>
                        <w:rFonts w:ascii="Cambria Math" w:hAnsi="Cambria Math"/>
                        <w:i/>
                      </w:rPr>
                    </m:ctrlPr>
                  </m:fPr>
                  <m:num>
                    <m:r>
                      <w:rPr>
                        <w:rFonts w:ascii="Cambria Math" w:hAnsi="Cambria Math"/>
                      </w:rPr>
                      <m:t>GC</m:t>
                    </m:r>
                  </m:num>
                  <m:den>
                    <m:r>
                      <w:rPr>
                        <w:rFonts w:ascii="Cambria Math" w:hAnsi="Cambria Math"/>
                      </w:rPr>
                      <m:t>TC</m:t>
                    </m:r>
                  </m:den>
                </m:f>
                <m:r>
                  <w:rPr>
                    <w:rFonts w:ascii="Cambria Math" w:hAnsi="Cambria Math"/>
                  </w:rPr>
                  <m:t>×100%</m:t>
                </m:r>
              </m:oMath>
            </m:oMathPara>
          </w:p>
        </w:tc>
        <w:tc>
          <w:tcPr>
            <w:tcW w:w="844" w:type="dxa"/>
            <w:vAlign w:val="center"/>
          </w:tcPr>
          <w:p w14:paraId="109FB3D0" w14:textId="3E2A5D5D" w:rsidR="00964578" w:rsidRDefault="00C37187" w:rsidP="00964578">
            <w:pPr>
              <w:pStyle w:val="Paragraph"/>
              <w:ind w:firstLine="0"/>
              <w:jc w:val="right"/>
            </w:pPr>
            <w:r>
              <w:t>(3)</w:t>
            </w:r>
          </w:p>
        </w:tc>
      </w:tr>
      <w:tr w:rsidR="00C37187" w14:paraId="17ED4F89" w14:textId="77777777" w:rsidTr="001B3A24">
        <w:tc>
          <w:tcPr>
            <w:tcW w:w="8217" w:type="dxa"/>
            <w:vAlign w:val="center"/>
          </w:tcPr>
          <w:p w14:paraId="14E0C357" w14:textId="7F1E2D9F" w:rsidR="00C37187" w:rsidRPr="00C37187" w:rsidRDefault="00C37187" w:rsidP="00964578">
            <w:pPr>
              <w:pStyle w:val="Paragraph"/>
              <w:ind w:firstLine="0"/>
            </w:pPr>
            <m:oMathPara>
              <m:oMathParaPr>
                <m:jc m:val="left"/>
              </m:oMathParaPr>
              <m:oMath>
                <m:r>
                  <w:rPr>
                    <w:rFonts w:ascii="Cambria Math" w:hAnsi="Cambria Math"/>
                  </w:rPr>
                  <w:lastRenderedPageBreak/>
                  <m:t>OEE=</m:t>
                </m:r>
                <m:d>
                  <m:dPr>
                    <m:ctrlPr>
                      <w:rPr>
                        <w:rFonts w:ascii="Cambria Math" w:hAnsi="Cambria Math"/>
                        <w:i/>
                      </w:rPr>
                    </m:ctrlPr>
                  </m:dPr>
                  <m:e>
                    <m:r>
                      <w:rPr>
                        <w:rFonts w:ascii="Cambria Math" w:hAnsi="Cambria Math"/>
                      </w:rPr>
                      <m:t>A×P×Q</m:t>
                    </m:r>
                  </m:e>
                </m:d>
                <m:r>
                  <w:rPr>
                    <w:rFonts w:ascii="Cambria Math" w:hAnsi="Cambria Math"/>
                  </w:rPr>
                  <m:t>×100%</m:t>
                </m:r>
              </m:oMath>
            </m:oMathPara>
          </w:p>
        </w:tc>
        <w:tc>
          <w:tcPr>
            <w:tcW w:w="844" w:type="dxa"/>
            <w:vAlign w:val="center"/>
          </w:tcPr>
          <w:p w14:paraId="0DB29AE7" w14:textId="4E6FF866" w:rsidR="00C37187" w:rsidRDefault="00C37187" w:rsidP="00964578">
            <w:pPr>
              <w:pStyle w:val="Paragraph"/>
              <w:ind w:firstLine="0"/>
              <w:jc w:val="right"/>
            </w:pPr>
            <w:r>
              <w:t>(4)</w:t>
            </w:r>
          </w:p>
        </w:tc>
      </w:tr>
    </w:tbl>
    <w:p w14:paraId="26C9C6A3" w14:textId="25D61C41" w:rsidR="00B526D6" w:rsidRPr="00747394" w:rsidRDefault="00964578" w:rsidP="00B526D6">
      <w:pPr>
        <w:pStyle w:val="Paragraph"/>
        <w:ind w:firstLine="0"/>
      </w:pPr>
      <w:r>
        <w:t xml:space="preserve"> </w:t>
      </w:r>
    </w:p>
    <w:p w14:paraId="6B1034B4" w14:textId="0D2336AE" w:rsidR="00994332" w:rsidRPr="00994332" w:rsidRDefault="00A761AD" w:rsidP="00F27150">
      <w:pPr>
        <w:pStyle w:val="Heading1"/>
      </w:pPr>
      <w:r>
        <w:t>3. Hasil dan Pembahasan</w:t>
      </w:r>
    </w:p>
    <w:p w14:paraId="3D1694C5" w14:textId="78A0D85C" w:rsidR="00994332" w:rsidRPr="00994332" w:rsidRDefault="00994332" w:rsidP="00994332">
      <w:pPr>
        <w:pStyle w:val="Heading2"/>
      </w:pPr>
      <w:r>
        <w:t>3.1 Hasil Rancang</w:t>
      </w:r>
      <w:r w:rsidR="001B3A24">
        <w:t xml:space="preserve"> Bangun</w:t>
      </w:r>
      <w:r>
        <w:t xml:space="preserve"> Sistem Pengamatan Lead Lump Secara Real-Time</w:t>
      </w:r>
    </w:p>
    <w:p w14:paraId="2A18C3BF" w14:textId="2934BB11" w:rsidR="00994332" w:rsidRDefault="006D4096" w:rsidP="00C217C6">
      <w:pPr>
        <w:pStyle w:val="Paragraph"/>
      </w:pPr>
      <w:r>
        <w:t>Sistem pengamatan penggunaan lead lump secara real-time memanfaatkan beberapa komponen antara lain komponen table feeder lead lump dan screen belt conveyor sebagai trigger awal dimulainya perhitungan penggunaan lead lump, controller berupa LPC Mitsubishi Q-Series dengan tipe Q00UCPU, kabel serial komunikasi dengan tipe RS 232 GT01-C30R2-6P yang berfungsi untuk menghubungkan antara PLC dengan HMI serta perangkat HMI Mitsubishi tipe GS2110-WTBD-N. Rangkaian alat sistem tersebut disajikan pada Gambar 4.</w:t>
      </w:r>
    </w:p>
    <w:p w14:paraId="032BAF90" w14:textId="71AACAAC" w:rsidR="006D4096" w:rsidRDefault="00140EC3" w:rsidP="00140EC3">
      <w:pPr>
        <w:pStyle w:val="Paragraph"/>
        <w:ind w:firstLine="0"/>
        <w:jc w:val="center"/>
      </w:pPr>
      <w:r>
        <w:rPr>
          <w:b/>
          <w:noProof/>
          <w:lang w:val="id-ID"/>
        </w:rPr>
        <w:drawing>
          <wp:inline distT="0" distB="0" distL="0" distR="0" wp14:anchorId="402E2A09" wp14:editId="30F911C3">
            <wp:extent cx="5297924" cy="1800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5513" cy="1806202"/>
                    </a:xfrm>
                    <a:prstGeom prst="rect">
                      <a:avLst/>
                    </a:prstGeom>
                    <a:noFill/>
                  </pic:spPr>
                </pic:pic>
              </a:graphicData>
            </a:graphic>
          </wp:inline>
        </w:drawing>
      </w:r>
    </w:p>
    <w:p w14:paraId="592BF1F6" w14:textId="01794DF8" w:rsidR="00140EC3" w:rsidRDefault="00140EC3" w:rsidP="00140EC3">
      <w:pPr>
        <w:pStyle w:val="Paragraph"/>
        <w:ind w:firstLine="0"/>
        <w:jc w:val="center"/>
      </w:pPr>
      <w:r>
        <w:t xml:space="preserve">Gambar </w:t>
      </w:r>
      <w:r w:rsidR="004B6193">
        <w:t>4 Rangkaian sistem pemantauan penggunaan lead lump secara real-time</w:t>
      </w:r>
    </w:p>
    <w:p w14:paraId="47348179" w14:textId="77777777" w:rsidR="004B6193" w:rsidRDefault="004B6193" w:rsidP="004B6193">
      <w:pPr>
        <w:pStyle w:val="Paragraph"/>
        <w:ind w:firstLine="0"/>
      </w:pPr>
    </w:p>
    <w:p w14:paraId="56475030" w14:textId="2EC4CCF8" w:rsidR="004B6193" w:rsidRDefault="004B6193" w:rsidP="00C217C6">
      <w:pPr>
        <w:pStyle w:val="Paragraph"/>
      </w:pPr>
      <w:r>
        <w:t>Sistem pemantauan penggunaan lead lump dalam penelitian ini juga dilengkapi dengan HMI yang memudahkan bagi operator untuk memantau dan melihat secara langsung hasil pencatatan penggunaan lead lump. Gambar 5 menunjukkan tampilan HMI sistem.</w:t>
      </w:r>
      <w:r w:rsidR="008E4781">
        <w:t xml:space="preserve"> Gambar 5(a) merupakan tampilan awal HMI menunjukkan identitas perusahaan. Tampilan Gambar 5(b) menunjukkan </w:t>
      </w:r>
      <w:r w:rsidR="00925AC0">
        <w:t>mesin ball mill mana yang ingin dilihat tampilan lead lump-nya. Sedangkan Gambar 5(c) dan 5(d) menunjukkan hasil pemantauan penggunaan lead lump dalam angka tabel dan dalam grafik.</w:t>
      </w:r>
    </w:p>
    <w:p w14:paraId="60682056" w14:textId="77777777" w:rsidR="007D4E9D" w:rsidRDefault="007D4E9D" w:rsidP="00C217C6">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E4781" w14:paraId="56C8FED3" w14:textId="77777777" w:rsidTr="005D1D6D">
        <w:tc>
          <w:tcPr>
            <w:tcW w:w="4530" w:type="dxa"/>
          </w:tcPr>
          <w:p w14:paraId="3C540728" w14:textId="4327B23F" w:rsidR="004B6193" w:rsidRDefault="008E4781" w:rsidP="00134E5C">
            <w:pPr>
              <w:pStyle w:val="Paragraph"/>
              <w:ind w:firstLine="0"/>
              <w:jc w:val="center"/>
            </w:pPr>
            <w:r w:rsidRPr="008E4781">
              <w:rPr>
                <w:noProof/>
              </w:rPr>
              <w:drawing>
                <wp:inline distT="0" distB="0" distL="0" distR="0" wp14:anchorId="64EE01FC" wp14:editId="0CDB4CF5">
                  <wp:extent cx="2666577" cy="1628775"/>
                  <wp:effectExtent l="0" t="0" r="635" b="0"/>
                  <wp:docPr id="160154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41624" name=""/>
                          <pic:cNvPicPr/>
                        </pic:nvPicPr>
                        <pic:blipFill>
                          <a:blip r:embed="rId15"/>
                          <a:stretch>
                            <a:fillRect/>
                          </a:stretch>
                        </pic:blipFill>
                        <pic:spPr>
                          <a:xfrm>
                            <a:off x="0" y="0"/>
                            <a:ext cx="2697066" cy="1647398"/>
                          </a:xfrm>
                          <a:prstGeom prst="rect">
                            <a:avLst/>
                          </a:prstGeom>
                        </pic:spPr>
                      </pic:pic>
                    </a:graphicData>
                  </a:graphic>
                </wp:inline>
              </w:drawing>
            </w:r>
          </w:p>
          <w:p w14:paraId="03FBBA0C" w14:textId="184A3DA8" w:rsidR="004B6193" w:rsidRDefault="004B6193" w:rsidP="00134E5C">
            <w:pPr>
              <w:pStyle w:val="Paragraph"/>
              <w:ind w:firstLine="0"/>
              <w:jc w:val="center"/>
            </w:pPr>
            <w:r>
              <w:t>(a)</w:t>
            </w:r>
          </w:p>
        </w:tc>
        <w:tc>
          <w:tcPr>
            <w:tcW w:w="4531" w:type="dxa"/>
          </w:tcPr>
          <w:p w14:paraId="7C24EA02" w14:textId="77777777" w:rsidR="004B6193" w:rsidRDefault="004B6193" w:rsidP="00134E5C">
            <w:pPr>
              <w:pStyle w:val="Paragraph"/>
              <w:ind w:firstLine="0"/>
              <w:jc w:val="center"/>
            </w:pPr>
            <w:r>
              <w:rPr>
                <w:noProof/>
                <w:sz w:val="24"/>
                <w:szCs w:val="24"/>
              </w:rPr>
              <w:drawing>
                <wp:inline distT="0" distB="0" distL="0" distR="0" wp14:anchorId="372A1F83" wp14:editId="22914568">
                  <wp:extent cx="2711320" cy="1628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1148" cy="1640686"/>
                          </a:xfrm>
                          <a:prstGeom prst="rect">
                            <a:avLst/>
                          </a:prstGeom>
                        </pic:spPr>
                      </pic:pic>
                    </a:graphicData>
                  </a:graphic>
                </wp:inline>
              </w:drawing>
            </w:r>
          </w:p>
          <w:p w14:paraId="6B1D1C06" w14:textId="02F7FB1B" w:rsidR="004B6193" w:rsidRDefault="004B6193" w:rsidP="00134E5C">
            <w:pPr>
              <w:pStyle w:val="Paragraph"/>
              <w:ind w:firstLine="0"/>
              <w:jc w:val="center"/>
            </w:pPr>
            <w:r>
              <w:t>(b)</w:t>
            </w:r>
          </w:p>
        </w:tc>
      </w:tr>
      <w:tr w:rsidR="008E4781" w14:paraId="5CFC3686" w14:textId="77777777" w:rsidTr="005D1D6D">
        <w:tc>
          <w:tcPr>
            <w:tcW w:w="4530" w:type="dxa"/>
          </w:tcPr>
          <w:p w14:paraId="4866B2DF" w14:textId="77777777" w:rsidR="004B6193" w:rsidRDefault="00134E5C" w:rsidP="00134E5C">
            <w:pPr>
              <w:pStyle w:val="Paragraph"/>
              <w:ind w:firstLine="0"/>
              <w:jc w:val="center"/>
            </w:pPr>
            <w:r>
              <w:rPr>
                <w:b/>
                <w:iCs/>
                <w:noProof/>
                <w:lang w:val="id-ID"/>
              </w:rPr>
              <w:lastRenderedPageBreak/>
              <w:drawing>
                <wp:inline distT="0" distB="0" distL="0" distR="0" wp14:anchorId="4FE57FE8" wp14:editId="262ABE85">
                  <wp:extent cx="2667000" cy="16009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2115" cy="1604066"/>
                          </a:xfrm>
                          <a:prstGeom prst="rect">
                            <a:avLst/>
                          </a:prstGeom>
                          <a:noFill/>
                        </pic:spPr>
                      </pic:pic>
                    </a:graphicData>
                  </a:graphic>
                </wp:inline>
              </w:drawing>
            </w:r>
          </w:p>
          <w:p w14:paraId="77E4CD2D" w14:textId="5DFDCDF8" w:rsidR="00134E5C" w:rsidRDefault="00134E5C" w:rsidP="00134E5C">
            <w:pPr>
              <w:pStyle w:val="Paragraph"/>
              <w:ind w:firstLine="0"/>
              <w:jc w:val="center"/>
            </w:pPr>
            <w:r>
              <w:t>(c)</w:t>
            </w:r>
          </w:p>
        </w:tc>
        <w:tc>
          <w:tcPr>
            <w:tcW w:w="4531" w:type="dxa"/>
          </w:tcPr>
          <w:p w14:paraId="5B429FC3" w14:textId="77777777" w:rsidR="004B6193" w:rsidRDefault="00134E5C" w:rsidP="00134E5C">
            <w:pPr>
              <w:pStyle w:val="Paragraph"/>
              <w:ind w:firstLine="0"/>
              <w:jc w:val="center"/>
            </w:pPr>
            <w:r>
              <w:rPr>
                <w:b/>
                <w:iCs/>
                <w:noProof/>
                <w:lang w:val="id-ID"/>
              </w:rPr>
              <w:drawing>
                <wp:inline distT="0" distB="0" distL="0" distR="0" wp14:anchorId="39F6305C" wp14:editId="49A3C05D">
                  <wp:extent cx="2666734" cy="160083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160" cy="1604692"/>
                          </a:xfrm>
                          <a:prstGeom prst="rect">
                            <a:avLst/>
                          </a:prstGeom>
                          <a:noFill/>
                        </pic:spPr>
                      </pic:pic>
                    </a:graphicData>
                  </a:graphic>
                </wp:inline>
              </w:drawing>
            </w:r>
          </w:p>
          <w:p w14:paraId="1FA0201A" w14:textId="0C790D23" w:rsidR="00134E5C" w:rsidRDefault="00134E5C" w:rsidP="00134E5C">
            <w:pPr>
              <w:pStyle w:val="Paragraph"/>
              <w:ind w:firstLine="0"/>
              <w:jc w:val="center"/>
            </w:pPr>
            <w:r>
              <w:t>(d)</w:t>
            </w:r>
          </w:p>
        </w:tc>
      </w:tr>
    </w:tbl>
    <w:p w14:paraId="66136017" w14:textId="25B0CEC7" w:rsidR="004B6193" w:rsidRDefault="00925AC0" w:rsidP="00925AC0">
      <w:pPr>
        <w:pStyle w:val="Paragraph"/>
        <w:ind w:firstLine="0"/>
        <w:jc w:val="center"/>
      </w:pPr>
      <w:r>
        <w:t>Gambar 5 HMI sistem pemantauan: (a) Tampilan awal, (b) Tampilan ball mill, (c) Tampilan penggunaan lead lump dalam tabel dan (d) Tampilan penggunaan lead lump dalam bentuk grafik</w:t>
      </w:r>
    </w:p>
    <w:p w14:paraId="6A6903EB" w14:textId="77777777" w:rsidR="00925AC0" w:rsidRDefault="00925AC0" w:rsidP="008521C5">
      <w:pPr>
        <w:pStyle w:val="Paragraph"/>
        <w:ind w:firstLine="0"/>
      </w:pPr>
    </w:p>
    <w:p w14:paraId="4DAD67E5" w14:textId="5FC836F5" w:rsidR="008521C5" w:rsidRDefault="008521C5" w:rsidP="008521C5">
      <w:pPr>
        <w:pStyle w:val="Heading2"/>
      </w:pPr>
      <w:r>
        <w:t xml:space="preserve">3.2 Hasil </w:t>
      </w:r>
      <w:r w:rsidR="00D87487">
        <w:t>Pemantauan Penggunaan Lead Lump dan Analis</w:t>
      </w:r>
      <w:r w:rsidR="00F27150">
        <w:t>is</w:t>
      </w:r>
      <w:r w:rsidR="00D87487">
        <w:t xml:space="preserve"> OEE</w:t>
      </w:r>
    </w:p>
    <w:p w14:paraId="4F1D07E2" w14:textId="7CC5BC13" w:rsidR="00D87487" w:rsidRPr="00D87487" w:rsidRDefault="00D87487" w:rsidP="00D87487">
      <w:pPr>
        <w:pStyle w:val="Paragraph"/>
      </w:pPr>
      <w:r>
        <w:t xml:space="preserve">Proses penelitian ini berjalan </w:t>
      </w:r>
      <w:r w:rsidR="002D67FA">
        <w:t>selama 6 bulan mulai bulan September 2023 sampai dengan Febuari 2024. Bulan Januari-Febuari 2024 mulai dilakukan pemantauan penggunaan lead lump yang dapat dilihat pada Tabel 1.</w:t>
      </w:r>
      <w:r>
        <w:t xml:space="preserve"> </w:t>
      </w:r>
    </w:p>
    <w:p w14:paraId="44A245A2" w14:textId="2EC7473F" w:rsidR="002D67FA" w:rsidRDefault="002D67FA" w:rsidP="002D67FA">
      <w:pPr>
        <w:pStyle w:val="TableCaption"/>
      </w:pPr>
      <w:r w:rsidRPr="00566345">
        <w:t xml:space="preserve">Tabel </w:t>
      </w:r>
      <w:r w:rsidRPr="00566345">
        <w:fldChar w:fldCharType="begin"/>
      </w:r>
      <w:r w:rsidRPr="00566345">
        <w:instrText xml:space="preserve"> SEQ Tabel \* ARABIC </w:instrText>
      </w:r>
      <w:r w:rsidRPr="00566345">
        <w:fldChar w:fldCharType="separate"/>
      </w:r>
      <w:r>
        <w:rPr>
          <w:noProof/>
        </w:rPr>
        <w:t>1</w:t>
      </w:r>
      <w:r w:rsidRPr="00566345">
        <w:fldChar w:fldCharType="end"/>
      </w:r>
      <w:r>
        <w:t xml:space="preserve"> Hasil pemantauan penggunaan lead lump secara real-time di bulan Januari-Febuari 2024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701"/>
        <w:gridCol w:w="1417"/>
        <w:gridCol w:w="567"/>
        <w:gridCol w:w="1844"/>
        <w:gridCol w:w="1417"/>
      </w:tblGrid>
      <w:tr w:rsidR="002D67FA" w:rsidRPr="002D67FA" w14:paraId="04690681" w14:textId="77777777" w:rsidTr="002D67FA">
        <w:trPr>
          <w:jc w:val="center"/>
        </w:trPr>
        <w:tc>
          <w:tcPr>
            <w:tcW w:w="567" w:type="dxa"/>
            <w:tcBorders>
              <w:top w:val="single" w:sz="4" w:space="0" w:color="auto"/>
              <w:bottom w:val="single" w:sz="4" w:space="0" w:color="auto"/>
            </w:tcBorders>
            <w:vAlign w:val="center"/>
          </w:tcPr>
          <w:p w14:paraId="63CA3EC5" w14:textId="77777777" w:rsidR="002D67FA" w:rsidRPr="002D67FA" w:rsidRDefault="002D67FA" w:rsidP="00C90FBD">
            <w:pPr>
              <w:pStyle w:val="icsmheading1"/>
              <w:spacing w:before="0" w:after="0" w:line="360" w:lineRule="auto"/>
              <w:jc w:val="center"/>
              <w:outlineLvl w:val="0"/>
              <w:rPr>
                <w:sz w:val="22"/>
                <w:szCs w:val="22"/>
                <w:lang w:val="en-US"/>
              </w:rPr>
            </w:pPr>
            <w:r w:rsidRPr="002D67FA">
              <w:rPr>
                <w:sz w:val="22"/>
                <w:szCs w:val="22"/>
                <w:lang w:val="en-US"/>
              </w:rPr>
              <w:t>No</w:t>
            </w:r>
          </w:p>
        </w:tc>
        <w:tc>
          <w:tcPr>
            <w:tcW w:w="1701" w:type="dxa"/>
            <w:tcBorders>
              <w:top w:val="single" w:sz="4" w:space="0" w:color="auto"/>
              <w:bottom w:val="single" w:sz="4" w:space="0" w:color="auto"/>
            </w:tcBorders>
            <w:vAlign w:val="center"/>
          </w:tcPr>
          <w:p w14:paraId="60D70878" w14:textId="77777777" w:rsidR="002D67FA" w:rsidRPr="002D67FA" w:rsidRDefault="002D67FA" w:rsidP="00C90FBD">
            <w:pPr>
              <w:pStyle w:val="icsmheading1"/>
              <w:spacing w:before="0" w:after="0" w:line="360" w:lineRule="auto"/>
              <w:jc w:val="center"/>
              <w:outlineLvl w:val="0"/>
              <w:rPr>
                <w:sz w:val="22"/>
                <w:szCs w:val="22"/>
                <w:lang w:val="en-US"/>
              </w:rPr>
            </w:pPr>
            <w:r w:rsidRPr="002D67FA">
              <w:rPr>
                <w:sz w:val="22"/>
                <w:szCs w:val="22"/>
                <w:lang w:val="en-US"/>
              </w:rPr>
              <w:t>Tanggal</w:t>
            </w:r>
          </w:p>
        </w:tc>
        <w:tc>
          <w:tcPr>
            <w:tcW w:w="1417" w:type="dxa"/>
            <w:tcBorders>
              <w:top w:val="single" w:sz="4" w:space="0" w:color="auto"/>
              <w:bottom w:val="single" w:sz="4" w:space="0" w:color="auto"/>
            </w:tcBorders>
            <w:vAlign w:val="center"/>
          </w:tcPr>
          <w:p w14:paraId="346CDBEE" w14:textId="77777777" w:rsidR="002D67FA" w:rsidRPr="002D67FA" w:rsidRDefault="002D67FA" w:rsidP="00C90FBD">
            <w:pPr>
              <w:pStyle w:val="icsmheading1"/>
              <w:spacing w:before="0" w:after="0" w:line="360" w:lineRule="auto"/>
              <w:jc w:val="center"/>
              <w:outlineLvl w:val="0"/>
              <w:rPr>
                <w:sz w:val="22"/>
                <w:szCs w:val="22"/>
                <w:lang w:val="en-US"/>
              </w:rPr>
            </w:pPr>
            <w:r w:rsidRPr="002D67FA">
              <w:rPr>
                <w:i/>
                <w:iCs/>
                <w:sz w:val="22"/>
                <w:szCs w:val="22"/>
                <w:lang w:val="en-US"/>
              </w:rPr>
              <w:t>Total Count</w:t>
            </w:r>
            <w:r w:rsidRPr="002D67FA">
              <w:rPr>
                <w:sz w:val="22"/>
                <w:szCs w:val="22"/>
                <w:lang w:val="en-US"/>
              </w:rPr>
              <w:t xml:space="preserve"> (kg)</w:t>
            </w:r>
          </w:p>
        </w:tc>
        <w:tc>
          <w:tcPr>
            <w:tcW w:w="567" w:type="dxa"/>
            <w:tcBorders>
              <w:top w:val="single" w:sz="4" w:space="0" w:color="auto"/>
              <w:bottom w:val="single" w:sz="4" w:space="0" w:color="auto"/>
            </w:tcBorders>
            <w:vAlign w:val="center"/>
          </w:tcPr>
          <w:p w14:paraId="4F3E085C" w14:textId="77777777" w:rsidR="002D67FA" w:rsidRPr="002D67FA" w:rsidRDefault="002D67FA" w:rsidP="00C90FBD">
            <w:pPr>
              <w:pStyle w:val="icsmheading1"/>
              <w:spacing w:before="0" w:after="0" w:line="360" w:lineRule="auto"/>
              <w:jc w:val="center"/>
              <w:outlineLvl w:val="0"/>
              <w:rPr>
                <w:sz w:val="22"/>
                <w:szCs w:val="22"/>
                <w:lang w:val="en-US"/>
              </w:rPr>
            </w:pPr>
            <w:r w:rsidRPr="002D67FA">
              <w:rPr>
                <w:sz w:val="22"/>
                <w:szCs w:val="22"/>
                <w:lang w:val="en-US"/>
              </w:rPr>
              <w:t>No</w:t>
            </w:r>
          </w:p>
        </w:tc>
        <w:tc>
          <w:tcPr>
            <w:tcW w:w="1844" w:type="dxa"/>
            <w:tcBorders>
              <w:top w:val="single" w:sz="4" w:space="0" w:color="auto"/>
              <w:bottom w:val="single" w:sz="4" w:space="0" w:color="auto"/>
            </w:tcBorders>
            <w:vAlign w:val="center"/>
          </w:tcPr>
          <w:p w14:paraId="19D39587" w14:textId="77777777" w:rsidR="002D67FA" w:rsidRPr="002D67FA" w:rsidRDefault="002D67FA" w:rsidP="00C90FBD">
            <w:pPr>
              <w:pStyle w:val="icsmheading1"/>
              <w:spacing w:before="0" w:after="0" w:line="360" w:lineRule="auto"/>
              <w:jc w:val="center"/>
              <w:outlineLvl w:val="0"/>
              <w:rPr>
                <w:sz w:val="22"/>
                <w:szCs w:val="22"/>
                <w:lang w:val="en-US"/>
              </w:rPr>
            </w:pPr>
            <w:r w:rsidRPr="002D67FA">
              <w:rPr>
                <w:sz w:val="22"/>
                <w:szCs w:val="22"/>
                <w:lang w:val="en-US"/>
              </w:rPr>
              <w:t>Tanggal</w:t>
            </w:r>
          </w:p>
        </w:tc>
        <w:tc>
          <w:tcPr>
            <w:tcW w:w="1417" w:type="dxa"/>
            <w:tcBorders>
              <w:top w:val="single" w:sz="4" w:space="0" w:color="auto"/>
              <w:bottom w:val="single" w:sz="4" w:space="0" w:color="auto"/>
            </w:tcBorders>
            <w:vAlign w:val="center"/>
          </w:tcPr>
          <w:p w14:paraId="651C294B" w14:textId="77777777" w:rsidR="002D67FA" w:rsidRPr="002D67FA" w:rsidRDefault="002D67FA" w:rsidP="00C90FBD">
            <w:pPr>
              <w:pStyle w:val="icsmheading1"/>
              <w:spacing w:before="0" w:after="0" w:line="360" w:lineRule="auto"/>
              <w:jc w:val="center"/>
              <w:outlineLvl w:val="0"/>
              <w:rPr>
                <w:sz w:val="22"/>
                <w:szCs w:val="22"/>
                <w:lang w:val="en-US"/>
              </w:rPr>
            </w:pPr>
            <w:r w:rsidRPr="002D67FA">
              <w:rPr>
                <w:i/>
                <w:iCs/>
                <w:sz w:val="22"/>
                <w:szCs w:val="22"/>
                <w:lang w:val="en-US"/>
              </w:rPr>
              <w:t>Total Count</w:t>
            </w:r>
            <w:r w:rsidRPr="002D67FA">
              <w:rPr>
                <w:sz w:val="22"/>
                <w:szCs w:val="22"/>
                <w:lang w:val="en-US"/>
              </w:rPr>
              <w:t xml:space="preserve"> (kg)</w:t>
            </w:r>
          </w:p>
        </w:tc>
      </w:tr>
      <w:tr w:rsidR="002D67FA" w:rsidRPr="002D67FA" w14:paraId="6EDA8985" w14:textId="77777777" w:rsidTr="002D67FA">
        <w:trPr>
          <w:jc w:val="center"/>
        </w:trPr>
        <w:tc>
          <w:tcPr>
            <w:tcW w:w="567" w:type="dxa"/>
            <w:tcBorders>
              <w:top w:val="single" w:sz="4" w:space="0" w:color="auto"/>
            </w:tcBorders>
            <w:vAlign w:val="center"/>
          </w:tcPr>
          <w:p w14:paraId="4C2B37B0"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1</w:t>
            </w:r>
          </w:p>
        </w:tc>
        <w:tc>
          <w:tcPr>
            <w:tcW w:w="1701" w:type="dxa"/>
            <w:tcBorders>
              <w:top w:val="single" w:sz="4" w:space="0" w:color="auto"/>
            </w:tcBorders>
            <w:vAlign w:val="center"/>
          </w:tcPr>
          <w:p w14:paraId="310436F3" w14:textId="77777777" w:rsidR="002D67FA" w:rsidRPr="002D67FA" w:rsidRDefault="002D67FA" w:rsidP="00C90FBD">
            <w:pPr>
              <w:pStyle w:val="icsmheading1"/>
              <w:spacing w:before="0" w:after="0" w:line="360" w:lineRule="auto"/>
              <w:outlineLvl w:val="0"/>
              <w:rPr>
                <w:b w:val="0"/>
                <w:bCs/>
                <w:sz w:val="22"/>
                <w:szCs w:val="22"/>
                <w:lang w:val="en-US"/>
              </w:rPr>
            </w:pPr>
            <w:r w:rsidRPr="002D67FA">
              <w:rPr>
                <w:b w:val="0"/>
                <w:bCs/>
                <w:sz w:val="22"/>
                <w:szCs w:val="22"/>
              </w:rPr>
              <w:t>10 Januari 2024</w:t>
            </w:r>
          </w:p>
        </w:tc>
        <w:tc>
          <w:tcPr>
            <w:tcW w:w="1417" w:type="dxa"/>
            <w:tcBorders>
              <w:top w:val="single" w:sz="4" w:space="0" w:color="auto"/>
            </w:tcBorders>
            <w:vAlign w:val="center"/>
          </w:tcPr>
          <w:p w14:paraId="09BCE438"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15953</w:t>
            </w:r>
          </w:p>
        </w:tc>
        <w:tc>
          <w:tcPr>
            <w:tcW w:w="567" w:type="dxa"/>
            <w:tcBorders>
              <w:top w:val="single" w:sz="4" w:space="0" w:color="auto"/>
            </w:tcBorders>
            <w:vAlign w:val="center"/>
          </w:tcPr>
          <w:p w14:paraId="2E8BE6F3"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14</w:t>
            </w:r>
          </w:p>
        </w:tc>
        <w:tc>
          <w:tcPr>
            <w:tcW w:w="1844" w:type="dxa"/>
            <w:tcBorders>
              <w:top w:val="single" w:sz="4" w:space="0" w:color="auto"/>
            </w:tcBorders>
          </w:tcPr>
          <w:p w14:paraId="4827D15E"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27 Januari 2024</w:t>
            </w:r>
          </w:p>
        </w:tc>
        <w:tc>
          <w:tcPr>
            <w:tcW w:w="1417" w:type="dxa"/>
            <w:tcBorders>
              <w:top w:val="single" w:sz="4" w:space="0" w:color="auto"/>
            </w:tcBorders>
            <w:vAlign w:val="center"/>
          </w:tcPr>
          <w:p w14:paraId="3A97DBDD"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1891</w:t>
            </w:r>
          </w:p>
        </w:tc>
      </w:tr>
      <w:tr w:rsidR="002D67FA" w:rsidRPr="002D67FA" w14:paraId="0E5D5F17" w14:textId="77777777" w:rsidTr="002D67FA">
        <w:trPr>
          <w:jc w:val="center"/>
        </w:trPr>
        <w:tc>
          <w:tcPr>
            <w:tcW w:w="567" w:type="dxa"/>
            <w:vAlign w:val="center"/>
          </w:tcPr>
          <w:p w14:paraId="50DAA428"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2</w:t>
            </w:r>
          </w:p>
        </w:tc>
        <w:tc>
          <w:tcPr>
            <w:tcW w:w="1701" w:type="dxa"/>
            <w:vAlign w:val="center"/>
          </w:tcPr>
          <w:p w14:paraId="6ED881A6"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11 Januari 2024</w:t>
            </w:r>
          </w:p>
        </w:tc>
        <w:tc>
          <w:tcPr>
            <w:tcW w:w="1417" w:type="dxa"/>
            <w:vAlign w:val="center"/>
          </w:tcPr>
          <w:p w14:paraId="02F2A576"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9868</w:t>
            </w:r>
          </w:p>
        </w:tc>
        <w:tc>
          <w:tcPr>
            <w:tcW w:w="567" w:type="dxa"/>
            <w:vAlign w:val="center"/>
          </w:tcPr>
          <w:p w14:paraId="31C23F90"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15</w:t>
            </w:r>
          </w:p>
        </w:tc>
        <w:tc>
          <w:tcPr>
            <w:tcW w:w="1844" w:type="dxa"/>
          </w:tcPr>
          <w:p w14:paraId="040D4ACA" w14:textId="77777777" w:rsidR="002D67FA" w:rsidRPr="002D67FA" w:rsidRDefault="002D67FA" w:rsidP="00C90FBD">
            <w:pPr>
              <w:pStyle w:val="icsmheading1"/>
              <w:spacing w:before="0" w:after="0" w:line="360" w:lineRule="auto"/>
              <w:jc w:val="both"/>
              <w:outlineLvl w:val="0"/>
              <w:rPr>
                <w:b w:val="0"/>
                <w:bCs/>
                <w:sz w:val="22"/>
                <w:szCs w:val="22"/>
                <w:lang w:val="id-ID"/>
              </w:rPr>
            </w:pPr>
            <w:r w:rsidRPr="002D67FA">
              <w:rPr>
                <w:b w:val="0"/>
                <w:bCs/>
                <w:sz w:val="22"/>
                <w:szCs w:val="22"/>
              </w:rPr>
              <w:t>29 Januari 2024</w:t>
            </w:r>
          </w:p>
        </w:tc>
        <w:tc>
          <w:tcPr>
            <w:tcW w:w="1417" w:type="dxa"/>
            <w:vAlign w:val="center"/>
          </w:tcPr>
          <w:p w14:paraId="0CFAD8D7"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5599</w:t>
            </w:r>
          </w:p>
        </w:tc>
      </w:tr>
      <w:tr w:rsidR="002D67FA" w:rsidRPr="002D67FA" w14:paraId="6927CC3D" w14:textId="77777777" w:rsidTr="002D67FA">
        <w:trPr>
          <w:jc w:val="center"/>
        </w:trPr>
        <w:tc>
          <w:tcPr>
            <w:tcW w:w="567" w:type="dxa"/>
            <w:vAlign w:val="center"/>
          </w:tcPr>
          <w:p w14:paraId="2F15A490"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3</w:t>
            </w:r>
          </w:p>
        </w:tc>
        <w:tc>
          <w:tcPr>
            <w:tcW w:w="1701" w:type="dxa"/>
            <w:vAlign w:val="center"/>
          </w:tcPr>
          <w:p w14:paraId="6C56EC6C"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15 Januari 2024</w:t>
            </w:r>
          </w:p>
        </w:tc>
        <w:tc>
          <w:tcPr>
            <w:tcW w:w="1417" w:type="dxa"/>
            <w:vAlign w:val="center"/>
          </w:tcPr>
          <w:p w14:paraId="5DB8C958"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12701</w:t>
            </w:r>
          </w:p>
        </w:tc>
        <w:tc>
          <w:tcPr>
            <w:tcW w:w="567" w:type="dxa"/>
            <w:vAlign w:val="center"/>
          </w:tcPr>
          <w:p w14:paraId="15111435"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16</w:t>
            </w:r>
          </w:p>
        </w:tc>
        <w:tc>
          <w:tcPr>
            <w:tcW w:w="1844" w:type="dxa"/>
          </w:tcPr>
          <w:p w14:paraId="4B40E38F" w14:textId="77777777" w:rsidR="002D67FA" w:rsidRPr="002D67FA" w:rsidRDefault="002D67FA" w:rsidP="00C90FBD">
            <w:pPr>
              <w:pStyle w:val="icsmheading1"/>
              <w:spacing w:before="0" w:after="0" w:line="360" w:lineRule="auto"/>
              <w:jc w:val="both"/>
              <w:outlineLvl w:val="0"/>
              <w:rPr>
                <w:b w:val="0"/>
                <w:bCs/>
                <w:sz w:val="22"/>
                <w:szCs w:val="22"/>
                <w:lang w:val="id-ID"/>
              </w:rPr>
            </w:pPr>
            <w:r w:rsidRPr="002D67FA">
              <w:rPr>
                <w:b w:val="0"/>
                <w:bCs/>
                <w:sz w:val="22"/>
                <w:szCs w:val="22"/>
              </w:rPr>
              <w:t>30 Januari 2024</w:t>
            </w:r>
          </w:p>
        </w:tc>
        <w:tc>
          <w:tcPr>
            <w:tcW w:w="1417" w:type="dxa"/>
            <w:vAlign w:val="center"/>
          </w:tcPr>
          <w:p w14:paraId="1366C888"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16296</w:t>
            </w:r>
          </w:p>
        </w:tc>
      </w:tr>
      <w:tr w:rsidR="002D67FA" w:rsidRPr="002D67FA" w14:paraId="7C09FA2E" w14:textId="77777777" w:rsidTr="002D67FA">
        <w:trPr>
          <w:jc w:val="center"/>
        </w:trPr>
        <w:tc>
          <w:tcPr>
            <w:tcW w:w="567" w:type="dxa"/>
            <w:vAlign w:val="center"/>
          </w:tcPr>
          <w:p w14:paraId="36D34143"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4</w:t>
            </w:r>
          </w:p>
        </w:tc>
        <w:tc>
          <w:tcPr>
            <w:tcW w:w="1701" w:type="dxa"/>
            <w:vAlign w:val="center"/>
          </w:tcPr>
          <w:p w14:paraId="617B7FE7"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16 Januari 2024</w:t>
            </w:r>
          </w:p>
        </w:tc>
        <w:tc>
          <w:tcPr>
            <w:tcW w:w="1417" w:type="dxa"/>
            <w:vAlign w:val="center"/>
          </w:tcPr>
          <w:p w14:paraId="59E6B594"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15830</w:t>
            </w:r>
          </w:p>
        </w:tc>
        <w:tc>
          <w:tcPr>
            <w:tcW w:w="567" w:type="dxa"/>
            <w:vAlign w:val="center"/>
          </w:tcPr>
          <w:p w14:paraId="02D0E7DB"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17</w:t>
            </w:r>
          </w:p>
        </w:tc>
        <w:tc>
          <w:tcPr>
            <w:tcW w:w="1844" w:type="dxa"/>
          </w:tcPr>
          <w:p w14:paraId="235B5E0E" w14:textId="77777777" w:rsidR="002D67FA" w:rsidRPr="002D67FA" w:rsidRDefault="002D67FA" w:rsidP="00C90FBD">
            <w:pPr>
              <w:pStyle w:val="icsmheading1"/>
              <w:spacing w:before="0" w:after="0" w:line="360" w:lineRule="auto"/>
              <w:jc w:val="both"/>
              <w:outlineLvl w:val="0"/>
              <w:rPr>
                <w:b w:val="0"/>
                <w:bCs/>
                <w:sz w:val="22"/>
                <w:szCs w:val="22"/>
                <w:lang w:val="id-ID"/>
              </w:rPr>
            </w:pPr>
            <w:r w:rsidRPr="002D67FA">
              <w:rPr>
                <w:b w:val="0"/>
                <w:bCs/>
                <w:sz w:val="22"/>
                <w:szCs w:val="22"/>
              </w:rPr>
              <w:t>31 Januari 2024</w:t>
            </w:r>
          </w:p>
        </w:tc>
        <w:tc>
          <w:tcPr>
            <w:tcW w:w="1417" w:type="dxa"/>
            <w:vAlign w:val="center"/>
          </w:tcPr>
          <w:p w14:paraId="0333F9FC"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16752</w:t>
            </w:r>
          </w:p>
        </w:tc>
      </w:tr>
      <w:tr w:rsidR="002D67FA" w:rsidRPr="002D67FA" w14:paraId="4CCB4AA4" w14:textId="77777777" w:rsidTr="002D67FA">
        <w:trPr>
          <w:jc w:val="center"/>
        </w:trPr>
        <w:tc>
          <w:tcPr>
            <w:tcW w:w="567" w:type="dxa"/>
            <w:vAlign w:val="center"/>
          </w:tcPr>
          <w:p w14:paraId="25CFBB6A"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5</w:t>
            </w:r>
          </w:p>
        </w:tc>
        <w:tc>
          <w:tcPr>
            <w:tcW w:w="1701" w:type="dxa"/>
            <w:vAlign w:val="center"/>
          </w:tcPr>
          <w:p w14:paraId="2D558FED"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17 Januari 2024</w:t>
            </w:r>
          </w:p>
        </w:tc>
        <w:tc>
          <w:tcPr>
            <w:tcW w:w="1417" w:type="dxa"/>
            <w:vAlign w:val="center"/>
          </w:tcPr>
          <w:p w14:paraId="467F3656"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16391</w:t>
            </w:r>
          </w:p>
        </w:tc>
        <w:tc>
          <w:tcPr>
            <w:tcW w:w="567" w:type="dxa"/>
            <w:vAlign w:val="center"/>
          </w:tcPr>
          <w:p w14:paraId="195466C6"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18</w:t>
            </w:r>
          </w:p>
        </w:tc>
        <w:tc>
          <w:tcPr>
            <w:tcW w:w="1844" w:type="dxa"/>
          </w:tcPr>
          <w:p w14:paraId="55F77220" w14:textId="77777777" w:rsidR="002D67FA" w:rsidRPr="002D67FA" w:rsidRDefault="002D67FA" w:rsidP="00C90FBD">
            <w:pPr>
              <w:pStyle w:val="icsmheading1"/>
              <w:spacing w:before="0" w:after="0" w:line="360" w:lineRule="auto"/>
              <w:jc w:val="both"/>
              <w:outlineLvl w:val="0"/>
              <w:rPr>
                <w:b w:val="0"/>
                <w:bCs/>
                <w:sz w:val="22"/>
                <w:szCs w:val="22"/>
                <w:lang w:val="id-ID"/>
              </w:rPr>
            </w:pPr>
            <w:r w:rsidRPr="002D67FA">
              <w:rPr>
                <w:b w:val="0"/>
                <w:bCs/>
                <w:sz w:val="22"/>
                <w:szCs w:val="22"/>
              </w:rPr>
              <w:t>01 Februari 2024</w:t>
            </w:r>
          </w:p>
        </w:tc>
        <w:tc>
          <w:tcPr>
            <w:tcW w:w="1417" w:type="dxa"/>
            <w:vAlign w:val="center"/>
          </w:tcPr>
          <w:p w14:paraId="10E2184F"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15620</w:t>
            </w:r>
          </w:p>
        </w:tc>
      </w:tr>
      <w:tr w:rsidR="002D67FA" w:rsidRPr="002D67FA" w14:paraId="4D73D268" w14:textId="77777777" w:rsidTr="002D67FA">
        <w:trPr>
          <w:jc w:val="center"/>
        </w:trPr>
        <w:tc>
          <w:tcPr>
            <w:tcW w:w="567" w:type="dxa"/>
            <w:vAlign w:val="center"/>
          </w:tcPr>
          <w:p w14:paraId="2DFB5B68"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6</w:t>
            </w:r>
          </w:p>
        </w:tc>
        <w:tc>
          <w:tcPr>
            <w:tcW w:w="1701" w:type="dxa"/>
            <w:vAlign w:val="center"/>
          </w:tcPr>
          <w:p w14:paraId="1EEE78DA"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18 Januari 2024</w:t>
            </w:r>
          </w:p>
        </w:tc>
        <w:tc>
          <w:tcPr>
            <w:tcW w:w="1417" w:type="dxa"/>
            <w:vAlign w:val="center"/>
          </w:tcPr>
          <w:p w14:paraId="3D9F1564"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16438</w:t>
            </w:r>
          </w:p>
        </w:tc>
        <w:tc>
          <w:tcPr>
            <w:tcW w:w="567" w:type="dxa"/>
            <w:vAlign w:val="center"/>
          </w:tcPr>
          <w:p w14:paraId="1B048123"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19</w:t>
            </w:r>
          </w:p>
        </w:tc>
        <w:tc>
          <w:tcPr>
            <w:tcW w:w="1844" w:type="dxa"/>
          </w:tcPr>
          <w:p w14:paraId="16DACD18" w14:textId="77777777" w:rsidR="002D67FA" w:rsidRPr="002D67FA" w:rsidRDefault="002D67FA" w:rsidP="00C90FBD">
            <w:pPr>
              <w:pStyle w:val="icsmheading1"/>
              <w:spacing w:before="0" w:after="0" w:line="360" w:lineRule="auto"/>
              <w:jc w:val="both"/>
              <w:outlineLvl w:val="0"/>
              <w:rPr>
                <w:b w:val="0"/>
                <w:bCs/>
                <w:sz w:val="22"/>
                <w:szCs w:val="22"/>
                <w:lang w:val="id-ID"/>
              </w:rPr>
            </w:pPr>
            <w:r w:rsidRPr="002D67FA">
              <w:rPr>
                <w:b w:val="0"/>
                <w:bCs/>
                <w:sz w:val="22"/>
                <w:szCs w:val="22"/>
              </w:rPr>
              <w:t>02 Februari 2024</w:t>
            </w:r>
          </w:p>
        </w:tc>
        <w:tc>
          <w:tcPr>
            <w:tcW w:w="1417" w:type="dxa"/>
            <w:vAlign w:val="center"/>
          </w:tcPr>
          <w:p w14:paraId="62FAE018"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14487</w:t>
            </w:r>
          </w:p>
        </w:tc>
      </w:tr>
      <w:tr w:rsidR="002D67FA" w:rsidRPr="002D67FA" w14:paraId="116C11AA" w14:textId="77777777" w:rsidTr="002D67FA">
        <w:trPr>
          <w:jc w:val="center"/>
        </w:trPr>
        <w:tc>
          <w:tcPr>
            <w:tcW w:w="567" w:type="dxa"/>
            <w:vAlign w:val="center"/>
          </w:tcPr>
          <w:p w14:paraId="6F5BC9E1"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7</w:t>
            </w:r>
          </w:p>
        </w:tc>
        <w:tc>
          <w:tcPr>
            <w:tcW w:w="1701" w:type="dxa"/>
            <w:vAlign w:val="center"/>
          </w:tcPr>
          <w:p w14:paraId="2F5C9E5F"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19 Januari 2024</w:t>
            </w:r>
          </w:p>
        </w:tc>
        <w:tc>
          <w:tcPr>
            <w:tcW w:w="1417" w:type="dxa"/>
            <w:vAlign w:val="center"/>
          </w:tcPr>
          <w:p w14:paraId="0F347011"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14043</w:t>
            </w:r>
          </w:p>
        </w:tc>
        <w:tc>
          <w:tcPr>
            <w:tcW w:w="567" w:type="dxa"/>
            <w:vAlign w:val="center"/>
          </w:tcPr>
          <w:p w14:paraId="69BBEF93"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20</w:t>
            </w:r>
          </w:p>
        </w:tc>
        <w:tc>
          <w:tcPr>
            <w:tcW w:w="1844" w:type="dxa"/>
          </w:tcPr>
          <w:p w14:paraId="69E2CB78" w14:textId="77777777" w:rsidR="002D67FA" w:rsidRPr="002D67FA" w:rsidRDefault="002D67FA" w:rsidP="00C90FBD">
            <w:pPr>
              <w:pStyle w:val="icsmheading1"/>
              <w:spacing w:before="0" w:after="0" w:line="360" w:lineRule="auto"/>
              <w:jc w:val="both"/>
              <w:outlineLvl w:val="0"/>
              <w:rPr>
                <w:b w:val="0"/>
                <w:bCs/>
                <w:sz w:val="22"/>
                <w:szCs w:val="22"/>
                <w:lang w:val="id-ID"/>
              </w:rPr>
            </w:pPr>
            <w:r w:rsidRPr="002D67FA">
              <w:rPr>
                <w:b w:val="0"/>
                <w:bCs/>
                <w:sz w:val="22"/>
                <w:szCs w:val="22"/>
              </w:rPr>
              <w:t>03 Februari 2024</w:t>
            </w:r>
          </w:p>
        </w:tc>
        <w:tc>
          <w:tcPr>
            <w:tcW w:w="1417" w:type="dxa"/>
            <w:vAlign w:val="center"/>
          </w:tcPr>
          <w:p w14:paraId="3CA4981B"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6397</w:t>
            </w:r>
          </w:p>
        </w:tc>
      </w:tr>
      <w:tr w:rsidR="002D67FA" w:rsidRPr="002D67FA" w14:paraId="2AC999B2" w14:textId="77777777" w:rsidTr="002D67FA">
        <w:trPr>
          <w:jc w:val="center"/>
        </w:trPr>
        <w:tc>
          <w:tcPr>
            <w:tcW w:w="567" w:type="dxa"/>
            <w:vAlign w:val="center"/>
          </w:tcPr>
          <w:p w14:paraId="79EE4FAA"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8</w:t>
            </w:r>
          </w:p>
        </w:tc>
        <w:tc>
          <w:tcPr>
            <w:tcW w:w="1701" w:type="dxa"/>
            <w:vAlign w:val="center"/>
          </w:tcPr>
          <w:p w14:paraId="467333B4"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20 Januari 2024</w:t>
            </w:r>
          </w:p>
        </w:tc>
        <w:tc>
          <w:tcPr>
            <w:tcW w:w="1417" w:type="dxa"/>
            <w:vAlign w:val="center"/>
          </w:tcPr>
          <w:p w14:paraId="4C935F79"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10488</w:t>
            </w:r>
          </w:p>
        </w:tc>
        <w:tc>
          <w:tcPr>
            <w:tcW w:w="567" w:type="dxa"/>
            <w:vAlign w:val="center"/>
          </w:tcPr>
          <w:p w14:paraId="4CC2920D"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21</w:t>
            </w:r>
          </w:p>
        </w:tc>
        <w:tc>
          <w:tcPr>
            <w:tcW w:w="1844" w:type="dxa"/>
          </w:tcPr>
          <w:p w14:paraId="5F69E88B" w14:textId="77777777" w:rsidR="002D67FA" w:rsidRPr="002D67FA" w:rsidRDefault="002D67FA" w:rsidP="00C90FBD">
            <w:pPr>
              <w:pStyle w:val="icsmheading1"/>
              <w:spacing w:before="0" w:after="0" w:line="360" w:lineRule="auto"/>
              <w:jc w:val="both"/>
              <w:outlineLvl w:val="0"/>
              <w:rPr>
                <w:b w:val="0"/>
                <w:bCs/>
                <w:sz w:val="22"/>
                <w:szCs w:val="22"/>
                <w:lang w:val="id-ID"/>
              </w:rPr>
            </w:pPr>
            <w:r w:rsidRPr="002D67FA">
              <w:rPr>
                <w:b w:val="0"/>
                <w:bCs/>
                <w:sz w:val="22"/>
                <w:szCs w:val="22"/>
              </w:rPr>
              <w:t>05 Februari 2024</w:t>
            </w:r>
          </w:p>
        </w:tc>
        <w:tc>
          <w:tcPr>
            <w:tcW w:w="1417" w:type="dxa"/>
            <w:vAlign w:val="center"/>
          </w:tcPr>
          <w:p w14:paraId="7D0B04F1"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15517</w:t>
            </w:r>
          </w:p>
        </w:tc>
      </w:tr>
      <w:tr w:rsidR="002D67FA" w:rsidRPr="002D67FA" w14:paraId="6CD25B71" w14:textId="77777777" w:rsidTr="002D67FA">
        <w:trPr>
          <w:jc w:val="center"/>
        </w:trPr>
        <w:tc>
          <w:tcPr>
            <w:tcW w:w="567" w:type="dxa"/>
            <w:vAlign w:val="center"/>
          </w:tcPr>
          <w:p w14:paraId="131A1D28"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9</w:t>
            </w:r>
          </w:p>
        </w:tc>
        <w:tc>
          <w:tcPr>
            <w:tcW w:w="1701" w:type="dxa"/>
            <w:vAlign w:val="center"/>
          </w:tcPr>
          <w:p w14:paraId="6BDD32B0"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22 Januari 2024</w:t>
            </w:r>
          </w:p>
        </w:tc>
        <w:tc>
          <w:tcPr>
            <w:tcW w:w="1417" w:type="dxa"/>
            <w:vAlign w:val="center"/>
          </w:tcPr>
          <w:p w14:paraId="1FEE7BC2"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5432</w:t>
            </w:r>
          </w:p>
        </w:tc>
        <w:tc>
          <w:tcPr>
            <w:tcW w:w="567" w:type="dxa"/>
            <w:vAlign w:val="center"/>
          </w:tcPr>
          <w:p w14:paraId="1B0E71A8"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22</w:t>
            </w:r>
          </w:p>
        </w:tc>
        <w:tc>
          <w:tcPr>
            <w:tcW w:w="1844" w:type="dxa"/>
          </w:tcPr>
          <w:p w14:paraId="142B0C01" w14:textId="77777777" w:rsidR="002D67FA" w:rsidRPr="002D67FA" w:rsidRDefault="002D67FA" w:rsidP="00C90FBD">
            <w:pPr>
              <w:pStyle w:val="icsmheading1"/>
              <w:spacing w:before="0" w:after="0" w:line="360" w:lineRule="auto"/>
              <w:jc w:val="both"/>
              <w:outlineLvl w:val="0"/>
              <w:rPr>
                <w:b w:val="0"/>
                <w:bCs/>
                <w:sz w:val="22"/>
                <w:szCs w:val="22"/>
                <w:lang w:val="id-ID"/>
              </w:rPr>
            </w:pPr>
            <w:r w:rsidRPr="002D67FA">
              <w:rPr>
                <w:b w:val="0"/>
                <w:bCs/>
                <w:sz w:val="22"/>
                <w:szCs w:val="22"/>
              </w:rPr>
              <w:t>06 Februari 2024</w:t>
            </w:r>
          </w:p>
        </w:tc>
        <w:tc>
          <w:tcPr>
            <w:tcW w:w="1417" w:type="dxa"/>
            <w:vAlign w:val="center"/>
          </w:tcPr>
          <w:p w14:paraId="52785143"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15504</w:t>
            </w:r>
          </w:p>
        </w:tc>
      </w:tr>
      <w:tr w:rsidR="002D67FA" w:rsidRPr="002D67FA" w14:paraId="1707D58E" w14:textId="77777777" w:rsidTr="002D67FA">
        <w:trPr>
          <w:jc w:val="center"/>
        </w:trPr>
        <w:tc>
          <w:tcPr>
            <w:tcW w:w="567" w:type="dxa"/>
            <w:vAlign w:val="center"/>
          </w:tcPr>
          <w:p w14:paraId="5D0AF1AA"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10</w:t>
            </w:r>
          </w:p>
        </w:tc>
        <w:tc>
          <w:tcPr>
            <w:tcW w:w="1701" w:type="dxa"/>
            <w:vAlign w:val="center"/>
          </w:tcPr>
          <w:p w14:paraId="07E5EB17"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23 Januari 2024</w:t>
            </w:r>
          </w:p>
        </w:tc>
        <w:tc>
          <w:tcPr>
            <w:tcW w:w="1417" w:type="dxa"/>
            <w:vAlign w:val="center"/>
          </w:tcPr>
          <w:p w14:paraId="1A788D27"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14676</w:t>
            </w:r>
          </w:p>
        </w:tc>
        <w:tc>
          <w:tcPr>
            <w:tcW w:w="567" w:type="dxa"/>
            <w:vAlign w:val="center"/>
          </w:tcPr>
          <w:p w14:paraId="1DCBC2B3"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23</w:t>
            </w:r>
          </w:p>
        </w:tc>
        <w:tc>
          <w:tcPr>
            <w:tcW w:w="1844" w:type="dxa"/>
          </w:tcPr>
          <w:p w14:paraId="2CF902FA" w14:textId="77777777" w:rsidR="002D67FA" w:rsidRPr="002D67FA" w:rsidRDefault="002D67FA" w:rsidP="00C90FBD">
            <w:pPr>
              <w:pStyle w:val="icsmheading1"/>
              <w:spacing w:before="0" w:after="0" w:line="360" w:lineRule="auto"/>
              <w:jc w:val="both"/>
              <w:outlineLvl w:val="0"/>
              <w:rPr>
                <w:b w:val="0"/>
                <w:bCs/>
                <w:sz w:val="22"/>
                <w:szCs w:val="22"/>
                <w:lang w:val="id-ID"/>
              </w:rPr>
            </w:pPr>
            <w:r w:rsidRPr="002D67FA">
              <w:rPr>
                <w:b w:val="0"/>
                <w:bCs/>
                <w:sz w:val="22"/>
                <w:szCs w:val="22"/>
              </w:rPr>
              <w:t>09 Februari 2024</w:t>
            </w:r>
          </w:p>
        </w:tc>
        <w:tc>
          <w:tcPr>
            <w:tcW w:w="1417" w:type="dxa"/>
            <w:vAlign w:val="center"/>
          </w:tcPr>
          <w:p w14:paraId="67F40244"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14664</w:t>
            </w:r>
          </w:p>
        </w:tc>
      </w:tr>
      <w:tr w:rsidR="002D67FA" w:rsidRPr="002D67FA" w14:paraId="3AA0875A" w14:textId="77777777" w:rsidTr="002D67FA">
        <w:trPr>
          <w:jc w:val="center"/>
        </w:trPr>
        <w:tc>
          <w:tcPr>
            <w:tcW w:w="567" w:type="dxa"/>
            <w:vAlign w:val="center"/>
          </w:tcPr>
          <w:p w14:paraId="22985CD0"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11</w:t>
            </w:r>
          </w:p>
        </w:tc>
        <w:tc>
          <w:tcPr>
            <w:tcW w:w="1701" w:type="dxa"/>
            <w:vAlign w:val="center"/>
          </w:tcPr>
          <w:p w14:paraId="4A2D6231"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24 Januari 2024</w:t>
            </w:r>
          </w:p>
        </w:tc>
        <w:tc>
          <w:tcPr>
            <w:tcW w:w="1417" w:type="dxa"/>
            <w:vAlign w:val="center"/>
          </w:tcPr>
          <w:p w14:paraId="4A1CC858"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15808</w:t>
            </w:r>
          </w:p>
        </w:tc>
        <w:tc>
          <w:tcPr>
            <w:tcW w:w="567" w:type="dxa"/>
            <w:vAlign w:val="center"/>
          </w:tcPr>
          <w:p w14:paraId="4D3EA9F1"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24</w:t>
            </w:r>
          </w:p>
        </w:tc>
        <w:tc>
          <w:tcPr>
            <w:tcW w:w="1844" w:type="dxa"/>
          </w:tcPr>
          <w:p w14:paraId="780A5172" w14:textId="77777777" w:rsidR="002D67FA" w:rsidRPr="002D67FA" w:rsidRDefault="002D67FA" w:rsidP="00C90FBD">
            <w:pPr>
              <w:pStyle w:val="icsmheading1"/>
              <w:spacing w:before="0" w:after="0" w:line="360" w:lineRule="auto"/>
              <w:jc w:val="both"/>
              <w:outlineLvl w:val="0"/>
              <w:rPr>
                <w:b w:val="0"/>
                <w:bCs/>
                <w:sz w:val="22"/>
                <w:szCs w:val="22"/>
                <w:lang w:val="id-ID"/>
              </w:rPr>
            </w:pPr>
            <w:r w:rsidRPr="002D67FA">
              <w:rPr>
                <w:b w:val="0"/>
                <w:bCs/>
                <w:sz w:val="22"/>
                <w:szCs w:val="22"/>
              </w:rPr>
              <w:t>11 Februari 2024</w:t>
            </w:r>
          </w:p>
        </w:tc>
        <w:tc>
          <w:tcPr>
            <w:tcW w:w="1417" w:type="dxa"/>
            <w:vAlign w:val="center"/>
          </w:tcPr>
          <w:p w14:paraId="3EE38CE2"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8261</w:t>
            </w:r>
          </w:p>
        </w:tc>
      </w:tr>
      <w:tr w:rsidR="002D67FA" w:rsidRPr="002D67FA" w14:paraId="07B20050" w14:textId="77777777" w:rsidTr="002D67FA">
        <w:trPr>
          <w:jc w:val="center"/>
        </w:trPr>
        <w:tc>
          <w:tcPr>
            <w:tcW w:w="567" w:type="dxa"/>
            <w:vAlign w:val="center"/>
          </w:tcPr>
          <w:p w14:paraId="3B756BF3"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12</w:t>
            </w:r>
          </w:p>
        </w:tc>
        <w:tc>
          <w:tcPr>
            <w:tcW w:w="1701" w:type="dxa"/>
            <w:vAlign w:val="center"/>
          </w:tcPr>
          <w:p w14:paraId="22BB2478"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25 Januari 2024</w:t>
            </w:r>
          </w:p>
        </w:tc>
        <w:tc>
          <w:tcPr>
            <w:tcW w:w="1417" w:type="dxa"/>
            <w:vAlign w:val="center"/>
          </w:tcPr>
          <w:p w14:paraId="0072C53F"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13439</w:t>
            </w:r>
          </w:p>
        </w:tc>
        <w:tc>
          <w:tcPr>
            <w:tcW w:w="567" w:type="dxa"/>
            <w:tcBorders>
              <w:bottom w:val="single" w:sz="4" w:space="0" w:color="auto"/>
            </w:tcBorders>
            <w:vAlign w:val="center"/>
          </w:tcPr>
          <w:p w14:paraId="4E05B776"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25</w:t>
            </w:r>
          </w:p>
        </w:tc>
        <w:tc>
          <w:tcPr>
            <w:tcW w:w="1844" w:type="dxa"/>
            <w:tcBorders>
              <w:bottom w:val="single" w:sz="4" w:space="0" w:color="auto"/>
            </w:tcBorders>
          </w:tcPr>
          <w:p w14:paraId="4C5BFED6" w14:textId="77777777" w:rsidR="002D67FA" w:rsidRPr="002D67FA" w:rsidRDefault="002D67FA" w:rsidP="00C90FBD">
            <w:pPr>
              <w:pStyle w:val="icsmheading1"/>
              <w:spacing w:before="0" w:after="0" w:line="360" w:lineRule="auto"/>
              <w:jc w:val="both"/>
              <w:outlineLvl w:val="0"/>
              <w:rPr>
                <w:b w:val="0"/>
                <w:bCs/>
                <w:sz w:val="22"/>
                <w:szCs w:val="22"/>
                <w:lang w:val="id-ID"/>
              </w:rPr>
            </w:pPr>
            <w:r w:rsidRPr="002D67FA">
              <w:rPr>
                <w:b w:val="0"/>
                <w:bCs/>
                <w:sz w:val="22"/>
                <w:szCs w:val="22"/>
              </w:rPr>
              <w:t>12 Februari 2024</w:t>
            </w:r>
          </w:p>
        </w:tc>
        <w:tc>
          <w:tcPr>
            <w:tcW w:w="1417" w:type="dxa"/>
            <w:tcBorders>
              <w:bottom w:val="single" w:sz="4" w:space="0" w:color="auto"/>
            </w:tcBorders>
            <w:vAlign w:val="center"/>
          </w:tcPr>
          <w:p w14:paraId="004C3C4D"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14491</w:t>
            </w:r>
          </w:p>
        </w:tc>
      </w:tr>
      <w:tr w:rsidR="002D67FA" w:rsidRPr="002D67FA" w14:paraId="4CA61D21" w14:textId="77777777" w:rsidTr="002D67FA">
        <w:trPr>
          <w:jc w:val="center"/>
        </w:trPr>
        <w:tc>
          <w:tcPr>
            <w:tcW w:w="567" w:type="dxa"/>
            <w:tcBorders>
              <w:bottom w:val="single" w:sz="4" w:space="0" w:color="auto"/>
            </w:tcBorders>
            <w:vAlign w:val="center"/>
          </w:tcPr>
          <w:p w14:paraId="52C2A23A" w14:textId="77777777" w:rsidR="002D67FA" w:rsidRPr="002D67FA" w:rsidRDefault="002D67FA" w:rsidP="00C90FBD">
            <w:pPr>
              <w:pStyle w:val="icsmheading1"/>
              <w:spacing w:before="0" w:after="0" w:line="360" w:lineRule="auto"/>
              <w:jc w:val="center"/>
              <w:outlineLvl w:val="0"/>
              <w:rPr>
                <w:b w:val="0"/>
                <w:bCs/>
                <w:sz w:val="22"/>
                <w:szCs w:val="22"/>
                <w:lang w:val="en-US"/>
              </w:rPr>
            </w:pPr>
            <w:r w:rsidRPr="002D67FA">
              <w:rPr>
                <w:b w:val="0"/>
                <w:bCs/>
                <w:sz w:val="22"/>
                <w:szCs w:val="22"/>
                <w:lang w:val="en-US"/>
              </w:rPr>
              <w:t>13</w:t>
            </w:r>
          </w:p>
        </w:tc>
        <w:tc>
          <w:tcPr>
            <w:tcW w:w="1701" w:type="dxa"/>
            <w:tcBorders>
              <w:bottom w:val="single" w:sz="4" w:space="0" w:color="auto"/>
            </w:tcBorders>
            <w:vAlign w:val="center"/>
          </w:tcPr>
          <w:p w14:paraId="0FD676E3" w14:textId="77777777" w:rsidR="002D67FA" w:rsidRPr="002D67FA" w:rsidRDefault="002D67FA" w:rsidP="00C90FBD">
            <w:pPr>
              <w:pStyle w:val="icsmheading1"/>
              <w:spacing w:before="0" w:after="0" w:line="360" w:lineRule="auto"/>
              <w:outlineLvl w:val="0"/>
              <w:rPr>
                <w:b w:val="0"/>
                <w:bCs/>
                <w:sz w:val="22"/>
                <w:szCs w:val="22"/>
                <w:lang w:val="id-ID"/>
              </w:rPr>
            </w:pPr>
            <w:r w:rsidRPr="002D67FA">
              <w:rPr>
                <w:b w:val="0"/>
                <w:bCs/>
                <w:sz w:val="22"/>
                <w:szCs w:val="22"/>
              </w:rPr>
              <w:t>26 Januari 2024</w:t>
            </w:r>
          </w:p>
        </w:tc>
        <w:tc>
          <w:tcPr>
            <w:tcW w:w="1417" w:type="dxa"/>
            <w:tcBorders>
              <w:bottom w:val="single" w:sz="4" w:space="0" w:color="auto"/>
            </w:tcBorders>
            <w:vAlign w:val="center"/>
          </w:tcPr>
          <w:p w14:paraId="319B9544" w14:textId="77777777" w:rsidR="002D67FA" w:rsidRPr="002D67FA" w:rsidRDefault="002D67FA" w:rsidP="00C90FBD">
            <w:pPr>
              <w:pStyle w:val="icsmheading1"/>
              <w:spacing w:before="0" w:after="0" w:line="360" w:lineRule="auto"/>
              <w:jc w:val="center"/>
              <w:outlineLvl w:val="0"/>
              <w:rPr>
                <w:b w:val="0"/>
                <w:bCs/>
                <w:sz w:val="22"/>
                <w:szCs w:val="22"/>
                <w:lang w:val="id-ID"/>
              </w:rPr>
            </w:pPr>
            <w:r w:rsidRPr="002D67FA">
              <w:rPr>
                <w:b w:val="0"/>
                <w:bCs/>
                <w:sz w:val="22"/>
                <w:szCs w:val="22"/>
              </w:rPr>
              <w:t>10195</w:t>
            </w:r>
          </w:p>
        </w:tc>
        <w:tc>
          <w:tcPr>
            <w:tcW w:w="567" w:type="dxa"/>
            <w:tcBorders>
              <w:top w:val="single" w:sz="4" w:space="0" w:color="auto"/>
            </w:tcBorders>
          </w:tcPr>
          <w:p w14:paraId="38BA3163" w14:textId="77777777" w:rsidR="002D67FA" w:rsidRPr="002D67FA" w:rsidRDefault="002D67FA" w:rsidP="00C90FBD">
            <w:pPr>
              <w:pStyle w:val="icsmheading1"/>
              <w:spacing w:before="0" w:after="0" w:line="360" w:lineRule="auto"/>
              <w:jc w:val="both"/>
              <w:outlineLvl w:val="0"/>
              <w:rPr>
                <w:b w:val="0"/>
                <w:bCs/>
                <w:sz w:val="22"/>
                <w:szCs w:val="22"/>
                <w:lang w:val="id-ID"/>
              </w:rPr>
            </w:pPr>
          </w:p>
        </w:tc>
        <w:tc>
          <w:tcPr>
            <w:tcW w:w="1844" w:type="dxa"/>
            <w:tcBorders>
              <w:top w:val="single" w:sz="4" w:space="0" w:color="auto"/>
            </w:tcBorders>
          </w:tcPr>
          <w:p w14:paraId="5A057B14" w14:textId="77777777" w:rsidR="002D67FA" w:rsidRPr="002D67FA" w:rsidRDefault="002D67FA" w:rsidP="00C90FBD">
            <w:pPr>
              <w:pStyle w:val="icsmheading1"/>
              <w:spacing w:before="0" w:after="0" w:line="360" w:lineRule="auto"/>
              <w:jc w:val="both"/>
              <w:outlineLvl w:val="0"/>
              <w:rPr>
                <w:b w:val="0"/>
                <w:bCs/>
                <w:sz w:val="22"/>
                <w:szCs w:val="22"/>
                <w:lang w:val="id-ID"/>
              </w:rPr>
            </w:pPr>
          </w:p>
        </w:tc>
        <w:tc>
          <w:tcPr>
            <w:tcW w:w="1417" w:type="dxa"/>
            <w:tcBorders>
              <w:top w:val="single" w:sz="4" w:space="0" w:color="auto"/>
            </w:tcBorders>
          </w:tcPr>
          <w:p w14:paraId="1F4F9F7C" w14:textId="77777777" w:rsidR="002D67FA" w:rsidRPr="002D67FA" w:rsidRDefault="002D67FA" w:rsidP="00C90FBD">
            <w:pPr>
              <w:pStyle w:val="icsmheading1"/>
              <w:spacing w:before="0" w:after="0" w:line="360" w:lineRule="auto"/>
              <w:jc w:val="both"/>
              <w:outlineLvl w:val="0"/>
              <w:rPr>
                <w:b w:val="0"/>
                <w:bCs/>
                <w:sz w:val="22"/>
                <w:szCs w:val="22"/>
                <w:lang w:val="id-ID"/>
              </w:rPr>
            </w:pPr>
          </w:p>
        </w:tc>
      </w:tr>
    </w:tbl>
    <w:p w14:paraId="77F3ECA4" w14:textId="77777777" w:rsidR="002D67FA" w:rsidRDefault="002D67FA" w:rsidP="002D67FA">
      <w:pPr>
        <w:pStyle w:val="TableCaption"/>
      </w:pPr>
    </w:p>
    <w:p w14:paraId="0B8A24AB" w14:textId="4A26F997" w:rsidR="008521C5" w:rsidRDefault="00B526D6" w:rsidP="00B526D6">
      <w:pPr>
        <w:pStyle w:val="Paragraph"/>
      </w:pPr>
      <w:r>
        <w:t xml:space="preserve">Data pemantauan penggunaan lead lump tersebut digunakan sebagai data perhitungan analisa OEE. Japan Institute of Plant Maintenance (JIPM) menerapkan standar nilai OEE yang banyak dijadikan acuan oleh industri-industri dunia </w:t>
      </w:r>
      <w:r w:rsidR="00040146">
        <w:fldChar w:fldCharType="begin" w:fldLock="1"/>
      </w:r>
      <w:r w:rsidR="00FA0A53">
        <w:instrText>ADDIN CSL_CITATION {"citationItems":[{"id":"ITEM-1","itemData":{"ISBN":"9772081415","ISSN":"1868-7075","PMID":"25246403","abstract":"Kualitas mutu suatu produk sangat berpengaruh terhadap kepuasan konsumen. PT Toba Pulp Lestari Tbk  merupakan salah satu perusahaan yang kegiatan utama Perseroan adalah memproduksi rayon pulp dan viscose bertempat di Porsea, Medan. Pada area Pulp Machine perusahaan ini, Ketidakmampuan mesin-mesin yang digunakan oleh PT  Toba Pulp Lestari,Tbk dalam melakukan produksi sesuai dengan target yang telah ditetapkan memperlihatkan bahwa masih terdapat faktor-faktor yang menyebabkan mesin bekerja secara tidak efektif. Menurut data historis mesin, sering terjadi downtime seperti felt rusak, vacum mesin trip, pressure down, speed down,power trip, consistency down,dll, sehingga mengakibatkan sheetbreak, sehingga perusahaan dalam memenuhi permintaan klien tidak dapat mencapai target yang telah ditetapkan. Tujuan penelitian ini adalah untuk menghitung tingkat availability, performance, dan quality dari mesin Pulp Machine, memperoleh nilai OEE dari mesin Pulp Machine, mengidentifikasi Six Big Losses pada mesin Pulp Machine dan mengajukan strategi-strategi pemecahan masalah yang terjadi dengan melakukan analisis Overall Euipment Effectiveness (OEE) dan melakukan analisis Six Big Losses.  Penelitian ini dibatasii hanya  untuk mengetahui tingkat keefektifitasan mesin produksi yang digunakan dalam menghasilkan pulp dengan melakukan pengamatan  pada Pulp Machine PT Toba Pulp Lestari,Tbk.  Untuk mendapatkan nilai OEE yang standar menurut Japan Institute of Plant Maintenance (JIPM) sebesar 85%, maka untuk mencapainya harus memenuhi nilai minimal untuk setiap variabel perhitungan OEE yaitu Availability Rate sebesar 90%, Performance Efficiency sebesar 95%, and Quality of Product sebesar 99,9%.     ABSTRACT      [  (  O  verall Equipment Effectiveness (OEE) on Pulp Machine and Six Big losses at PT Toba Pulp Lestari,     Tbk)   ]     Quality of a product is very influential on customer satisfaction. PT Toba Pulp Lestari Tbk is one of the companies whose main activity is to produce rayon pulp and viscose located at Porsea, Medan. In the Pulp Machine area of this company, the inability of the machines used by PT Toba Pulp Lestari, Tbk in doing production in accordance with the target set has shown that there are still factors that cause the machine to work ineffectively. According to the historical data of the machine, frequent downtime such as broken felt, trip engine vacuum, pressure down, speed down, power trip, consistency down, etc., resulting in sheetbreak, so the company in…","author":[{"dropping-particle":"","family":"Siahaan","given":"Yohana Sara Tresia","non-dropping-particle":"","parse-names":false,"suffix":""},{"dropping-particle":"","family":"Arvianto","given":"Ary","non-dropping-particle":"","parse-names":false,"suffix":""}],"container-title":"Industrial Engineering Online Journal","id":"ITEM-1","issue":"4","issued":{"date-parts":[["2019"]]},"page":"343-354","title":"Analisis Overall Equipment Effectiveness (OEE) pada Pulp Machine dan Six Big Losses di PT Toba Pulp Lestari, Tbk","type":"article-journal","volume":"7"},"uris":["http://www.mendeley.com/documents/?uuid=f611185b-29a5-42c5-9ce0-67764147d6a7"]}],"mendeley":{"formattedCitation":"[10]","plainTextFormattedCitation":"[10]","previouslyFormattedCitation":"[10]"},"properties":{"noteIndex":0},"schema":"https://github.com/citation-style-language/schema/raw/master/csl-citation.json"}</w:instrText>
      </w:r>
      <w:r w:rsidR="00040146">
        <w:fldChar w:fldCharType="separate"/>
      </w:r>
      <w:r w:rsidR="00040146" w:rsidRPr="00040146">
        <w:rPr>
          <w:noProof/>
        </w:rPr>
        <w:t>[10]</w:t>
      </w:r>
      <w:r w:rsidR="00040146">
        <w:fldChar w:fldCharType="end"/>
      </w:r>
      <w:r w:rsidR="00040146">
        <w:t xml:space="preserve">. </w:t>
      </w:r>
      <w:r w:rsidR="00FA0A53">
        <w:t xml:space="preserve">Nilai OEE standar kelas dunia menurut JIPM sebesar 85% </w:t>
      </w:r>
      <w:r w:rsidR="00FA0A53">
        <w:fldChar w:fldCharType="begin" w:fldLock="1"/>
      </w:r>
      <w:r w:rsidR="003172D2">
        <w:instrText>ADDIN CSL_CITATION {"citationItems":[{"id":"ITEM-1","itemData":{"DOI":"10.36418/jist.v2i7.194","ISSN":"2723-6609","abstract":"Industri manufaktur khususnya industri otomotif di Indonesia sangat berkembang begitu pesat. Kebijakan suatu perusahaan untuk memenangkan persaingan bisinis sangat dibutuhkannya suatu keefektifan dan effisienan dalam pengelolaan perusahaan. Kebijakan yang di ambil pada PT.XYZ salah satunya adalah meningkatkan kapasitas produksi.  Kebijakan ini dilakukan dengan adanya penambahan mesin maupun meningkatan output pada mesin-mesin yang sudah ada. Metode yang digunakan untuk mengukur kinerja mesin pada PT.XYZ salah satunya adalah Overall Equipment Effetiveness (OEE) yang dasari dari Total Productive Maintenance (TPM). Dari hasil perhitungan diperoleh presentase nilai Overall Equipment Effectiveness (OEE) pada bulan Agustus 2019 yaitu sebesar 70%. Nilai yang diperoleh belum mencukupi standar nilai yang sudah ditetapkan pada hasil nilai OEE yang nilainya sebesar 85%. Bila dilihat pada Diagram Pareto untuk faktor Reduce Speed Loss memiliki total time loss terbanyak dan frekuensi kumulatif terendah dari Six Big Losses yang sangat mempengaruhi hasil nilai OEE yang sudah didapat. PT.XYZ harus memberikan pelatihan kepada operator terhadap maintanence mesin tersebut sehingga performance mesin press dapat meningkat, melalukan inpeksi terhadap die dan membuat penjadwalan terkait dalam pemeriksaan die secara rutin, Membuat tim Inspektor khusus agar dapat melakukan inspeksi secara rutin, dan melalukan penyetokan terhadap suku cadang yang krusial","author":[{"dropping-particle":"","family":"Irfan","given":"Mochamad","non-dropping-particle":"","parse-names":false,"suffix":""}],"container-title":"Jurnal Indonesia Sosial Teknologi","id":"ITEM-1","issue":"07","issued":{"date-parts":[["2021"]]},"page":"1173-1182","title":"Analisis Overall Equipment Effectiveness untuk Meningkatkan Keefektifan pada Mesin Press","type":"article-journal","volume":"2"},"uris":["http://www.mendeley.com/documents/?uuid=d19bb2bc-534c-4147-994e-3c1964ac542a"]}],"mendeley":{"formattedCitation":"[11]","plainTextFormattedCitation":"[11]","previouslyFormattedCitation":"[11]"},"properties":{"noteIndex":0},"schema":"https://github.com/citation-style-language/schema/raw/master/csl-citation.json"}</w:instrText>
      </w:r>
      <w:r w:rsidR="00FA0A53">
        <w:fldChar w:fldCharType="separate"/>
      </w:r>
      <w:r w:rsidR="00FA0A53" w:rsidRPr="00FA0A53">
        <w:rPr>
          <w:noProof/>
        </w:rPr>
        <w:t>[11]</w:t>
      </w:r>
      <w:r w:rsidR="00FA0A53">
        <w:fldChar w:fldCharType="end"/>
      </w:r>
      <w:r w:rsidR="00FA0A53">
        <w:t>. Nilai OEE bergantung pada 3 buah variabel yaitu availability, performance dan quality. Hasil perhitungan variabel tersebut dapat dilihat pada Tabel 2.</w:t>
      </w:r>
      <w:r w:rsidR="00D17E56">
        <w:t xml:space="preserve"> </w:t>
      </w:r>
      <w:r w:rsidR="00637DF6">
        <w:t xml:space="preserve">Gambar 6 menunjukkan visualisasi hasil </w:t>
      </w:r>
      <w:r w:rsidR="00637DF6">
        <w:t>availability, performance</w:t>
      </w:r>
      <w:r w:rsidR="00637DF6">
        <w:t xml:space="preserve">, </w:t>
      </w:r>
      <w:r w:rsidR="00637DF6">
        <w:t>quality</w:t>
      </w:r>
      <w:r w:rsidR="00637DF6">
        <w:t xml:space="preserve"> dan OEE dengan perbandingan harga standar JIPM dari periode 10 Januari-12 Febuari 2024.</w:t>
      </w:r>
    </w:p>
    <w:p w14:paraId="080DFA70" w14:textId="14B74B54" w:rsidR="00FA0A53" w:rsidRDefault="00637DF6" w:rsidP="00637DF6">
      <w:pPr>
        <w:pStyle w:val="Paragraph"/>
      </w:pPr>
      <w:r>
        <w:lastRenderedPageBreak/>
        <w:t xml:space="preserve">Nilai rata-rata </w:t>
      </w:r>
      <w:r w:rsidRPr="003172D2">
        <w:rPr>
          <w:i/>
          <w:iCs/>
        </w:rPr>
        <w:t>availability</w:t>
      </w:r>
      <w:r>
        <w:t xml:space="preserve"> </w:t>
      </w:r>
      <w:r w:rsidR="00621825">
        <w:t>mesin ball mill</w:t>
      </w:r>
      <w:r>
        <w:t xml:space="preserve"> pada Tabel 2 diperoleh sebesar 97,39%. Hal ini menandakan bahwa seluruh waktu downtime dan breakdown mesin ball mill tidak signifikan dibandingkan dengan waktu keseluruhan saat mesin beroperasi. Nilai availability terendah bera</w:t>
      </w:r>
      <w:r w:rsidR="003172D2">
        <w:t>d</w:t>
      </w:r>
      <w:r>
        <w:t>a pada kisaran 65% pada tanggal 27 Januari 2024</w:t>
      </w:r>
      <w:r w:rsidR="003172D2">
        <w:t xml:space="preserve"> (Gambar 6)</w:t>
      </w:r>
      <w:r>
        <w:t>. Hal ini disebabkan karena pada waktu tersebut mesin ball mill mengalami kerusakan yaitu rantai cutting lead lump pot 2 putus sehingga perlu dilakukan perbaikan dan proses produksi lead powder berhenti.</w:t>
      </w:r>
      <w:r w:rsidR="003172D2">
        <w:t xml:space="preserve"> Temuan ini sejalan dengan penelitian lain yang pernah dilakukan sebelumnya dimana nilai availability rata-rata di atas 90%</w:t>
      </w:r>
      <w:r>
        <w:t xml:space="preserve"> </w:t>
      </w:r>
      <w:r w:rsidR="003172D2">
        <w:t xml:space="preserve">menunjukkan downtime yang sedikit </w:t>
      </w:r>
      <w:r w:rsidR="003172D2">
        <w:fldChar w:fldCharType="begin" w:fldLock="1"/>
      </w:r>
      <w:r w:rsidR="0012269A">
        <w:instrText>ADDIN CSL_CITATION {"citationItems":[{"id":"ITEM-1","itemData":{"DOI":"10.3390/pr8121648","ISSN":"22279717","abstract":"The article presents the problems connected with the performance evaluation of a flexible production system in the context of designing and integrating production and logistics subsystems. The goal of the performed analysis was to determine the parameters that have the most significant influence on the productivity of the whole system. The possibilities of using automated machine tools, automatic transport vehicles, as well as automated storage systems were pointed out. Moreover, the exemplary models are described, and the framework of simulation research related to the conceptual design of new production systems are indicated. In order to evaluate the system’s productivity, the use of Overall Equipment Efficiency (OEE) metrics was proposed, which is typically used for stationary resources such as machines. This paper aims to prove the hypothesis that the OEE metric can also be used for transport facilities such as Automated Guided Vehicles (AGVs). The developed models include the parameters regarding availability and failure of AGVs as well as production efficiency and quality, which allows the more accurate mapping of manufacturing processes. As the result, the Overall Factory Efficiency (OFE) and Overall Transport Efficiency (OTE) metrics were obtained. The obtained outcomes can be directly related to similar production systems that belong to World Class Manufacturing (WCM) or World Class Logistics (WCL), leading to the in-depth planning of such systems and their further improvement in the context of the Industry 4.0.","author":[{"dropping-particle":"","family":"Foit","given":"Krzysztof","non-dropping-particle":"","parse-names":false,"suffix":""},{"dropping-particle":"","family":"Gołda","given":"Grzegorz","non-dropping-particle":"","parse-names":false,"suffix":""},{"dropping-particle":"","family":"Kampa","given":"Adrian","non-dropping-particle":"","parse-names":false,"suffix":""}],"container-title":"Processes","id":"ITEM-1","issue":"12","issued":{"date-parts":[["2020"]]},"page":"1-15","title":"Integration and evaluation of intra-logistics processes in flexible production systems based on oee metrics, with the use of computer modelling and simulation of agvs","type":"article-journal","volume":"8"},"uris":["http://www.mendeley.com/documents/?uuid=d70c0efd-4b33-4294-982f-ddc04045dab9"]}],"mendeley":{"formattedCitation":"[8]","plainTextFormattedCitation":"[8]","previouslyFormattedCitation":"[8]"},"properties":{"noteIndex":0},"schema":"https://github.com/citation-style-language/schema/raw/master/csl-citation.json"}</w:instrText>
      </w:r>
      <w:r w:rsidR="003172D2">
        <w:fldChar w:fldCharType="separate"/>
      </w:r>
      <w:r w:rsidR="003172D2" w:rsidRPr="003172D2">
        <w:rPr>
          <w:noProof/>
        </w:rPr>
        <w:t>[8]</w:t>
      </w:r>
      <w:r w:rsidR="003172D2">
        <w:fldChar w:fldCharType="end"/>
      </w:r>
      <w:r w:rsidR="003172D2">
        <w:t>.</w:t>
      </w:r>
    </w:p>
    <w:p w14:paraId="215F8328" w14:textId="77777777" w:rsidR="00293D90" w:rsidRDefault="003172D2" w:rsidP="00637DF6">
      <w:pPr>
        <w:pStyle w:val="Paragraph"/>
      </w:pPr>
      <w:r>
        <w:t>Variabel perfromance</w:t>
      </w:r>
      <w:r w:rsidR="00621825">
        <w:t xml:space="preserve"> mesin ball mill</w:t>
      </w:r>
      <w:r>
        <w:t xml:space="preserve"> </w:t>
      </w:r>
      <w:r w:rsidR="00621825">
        <w:t xml:space="preserve">sesuai Tabel 2 </w:t>
      </w:r>
      <w:r>
        <w:t xml:space="preserve">menunjukkan </w:t>
      </w:r>
      <w:r w:rsidR="00621825">
        <w:t>angka sebesar 88,52%. Nilai perform</w:t>
      </w:r>
      <w:r w:rsidR="00FE3664">
        <w:t>ance</w:t>
      </w:r>
      <w:r w:rsidR="00621825">
        <w:t xml:space="preserve"> menunjukkan </w:t>
      </w:r>
      <w:r w:rsidR="00253500">
        <w:t xml:space="preserve">hubungan antara cycle time ideal dengan cycle time yang terjadi pada saat proses produksi. </w:t>
      </w:r>
      <w:r w:rsidR="00293D90">
        <w:t xml:space="preserve">Berdasarkan data ideal cycle time yang diambil, proses pengolahan lead lump pada mesin ball mill yaitu sebesar </w:t>
      </w:r>
      <w:r w:rsidR="00293D90">
        <w:t>0,07905 menit/kg</w:t>
      </w:r>
      <w:r w:rsidR="00293D90">
        <w:t>. Gambar 6 menunjukkan terdapat data outlier yaitu pada tanggal 11 Febuari 2024 dimana nilai performance menunjukkan berada pada angka 107,5%. Hal ini disebabkan karena laju lead lump yang kurang akurat. Perlu dilakukan trial ulang agar sistem pengamatan ini dapat berfungsi dengan lebih akurat.</w:t>
      </w:r>
    </w:p>
    <w:p w14:paraId="16DA1B08" w14:textId="065C77C4" w:rsidR="003172D2" w:rsidRDefault="00293D90" w:rsidP="00637DF6">
      <w:pPr>
        <w:pStyle w:val="Paragraph"/>
      </w:pPr>
      <w:r>
        <w:t xml:space="preserve">Tabel 2 menunjukkan nilai rata-rata quality sebesar 100%. Nilai tersebut sempurna dengan pertimbangan bahwa seluruh lead powder hasil proses pada mesin ball mill tidak ada yang mengalami kecacatan karena seluruhnya akan masuk ke dalam proses selanjutnya yaitu proses mixing untuk menghasilkan produk berupa pasta timah atau lead paste.  </w:t>
      </w:r>
    </w:p>
    <w:p w14:paraId="60E565EB" w14:textId="77777777" w:rsidR="00637DF6" w:rsidRDefault="00637DF6" w:rsidP="00637DF6">
      <w:pPr>
        <w:pStyle w:val="Paragraph"/>
      </w:pPr>
    </w:p>
    <w:p w14:paraId="35FB41DD" w14:textId="25EFD69C" w:rsidR="00FA0A53" w:rsidRDefault="00FA0A53" w:rsidP="00FA0A53">
      <w:pPr>
        <w:pStyle w:val="TableCaption"/>
      </w:pPr>
      <w:r w:rsidRPr="00566345">
        <w:t xml:space="preserve">Tabel </w:t>
      </w:r>
      <w:r>
        <w:t>2</w:t>
      </w:r>
      <w:r>
        <w:t xml:space="preserve"> Hasil </w:t>
      </w:r>
      <w:r>
        <w:t xml:space="preserve">perhitungan variabel </w:t>
      </w:r>
      <w:r>
        <w:t>availability, performance</w:t>
      </w:r>
      <w:r>
        <w:t xml:space="preserve">, </w:t>
      </w:r>
      <w:r>
        <w:t>quality</w:t>
      </w:r>
      <w:r>
        <w:t xml:space="preserve"> dan OEE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5"/>
        <w:gridCol w:w="2265"/>
        <w:gridCol w:w="2265"/>
        <w:gridCol w:w="2266"/>
      </w:tblGrid>
      <w:tr w:rsidR="00FA0A53" w14:paraId="3C7D3747" w14:textId="77777777" w:rsidTr="00253500">
        <w:tc>
          <w:tcPr>
            <w:tcW w:w="2265" w:type="dxa"/>
            <w:vAlign w:val="center"/>
          </w:tcPr>
          <w:p w14:paraId="65BF5198" w14:textId="025BE37A" w:rsidR="00FA0A53" w:rsidRPr="00253500" w:rsidRDefault="00FA0A53" w:rsidP="00FA0A53">
            <w:pPr>
              <w:pStyle w:val="TableCaption"/>
              <w:spacing w:before="0"/>
              <w:rPr>
                <w:b/>
                <w:bCs/>
              </w:rPr>
            </w:pPr>
            <w:r w:rsidRPr="00253500">
              <w:rPr>
                <w:b/>
                <w:bCs/>
              </w:rPr>
              <w:t xml:space="preserve">Nilai rata-rata </w:t>
            </w:r>
            <w:r w:rsidRPr="00253500">
              <w:rPr>
                <w:b/>
                <w:bCs/>
                <w:i/>
                <w:iCs/>
              </w:rPr>
              <w:t>availability</w:t>
            </w:r>
          </w:p>
        </w:tc>
        <w:tc>
          <w:tcPr>
            <w:tcW w:w="2265" w:type="dxa"/>
            <w:vAlign w:val="center"/>
          </w:tcPr>
          <w:p w14:paraId="77AA24D5" w14:textId="1286A4AF" w:rsidR="00FA0A53" w:rsidRPr="00253500" w:rsidRDefault="00D17E56" w:rsidP="00FA0A53">
            <w:pPr>
              <w:pStyle w:val="TableCaption"/>
              <w:spacing w:before="0"/>
              <w:rPr>
                <w:b/>
                <w:bCs/>
              </w:rPr>
            </w:pPr>
            <w:r w:rsidRPr="00253500">
              <w:rPr>
                <w:b/>
                <w:bCs/>
              </w:rPr>
              <w:t xml:space="preserve">Nilai rata-rata </w:t>
            </w:r>
            <w:r w:rsidRPr="00253500">
              <w:rPr>
                <w:b/>
                <w:bCs/>
                <w:i/>
                <w:iCs/>
              </w:rPr>
              <w:t>performance</w:t>
            </w:r>
          </w:p>
        </w:tc>
        <w:tc>
          <w:tcPr>
            <w:tcW w:w="2265" w:type="dxa"/>
            <w:vAlign w:val="center"/>
          </w:tcPr>
          <w:p w14:paraId="5553FFCE" w14:textId="737A8FDE" w:rsidR="00FA0A53" w:rsidRPr="00253500" w:rsidRDefault="00D17E56" w:rsidP="00FA0A53">
            <w:pPr>
              <w:pStyle w:val="TableCaption"/>
              <w:spacing w:before="0"/>
              <w:rPr>
                <w:b/>
                <w:bCs/>
              </w:rPr>
            </w:pPr>
            <w:r w:rsidRPr="00253500">
              <w:rPr>
                <w:b/>
                <w:bCs/>
              </w:rPr>
              <w:t xml:space="preserve">Nilai rata-rata </w:t>
            </w:r>
            <w:r w:rsidRPr="00253500">
              <w:rPr>
                <w:b/>
                <w:bCs/>
                <w:i/>
                <w:iCs/>
              </w:rPr>
              <w:t>quality</w:t>
            </w:r>
          </w:p>
        </w:tc>
        <w:tc>
          <w:tcPr>
            <w:tcW w:w="2266" w:type="dxa"/>
            <w:vAlign w:val="center"/>
          </w:tcPr>
          <w:p w14:paraId="12896891" w14:textId="18564BB3" w:rsidR="00FA0A53" w:rsidRPr="00253500" w:rsidRDefault="00D17E56" w:rsidP="00FA0A53">
            <w:pPr>
              <w:pStyle w:val="TableCaption"/>
              <w:spacing w:before="0"/>
              <w:rPr>
                <w:b/>
                <w:bCs/>
              </w:rPr>
            </w:pPr>
            <w:r w:rsidRPr="00253500">
              <w:rPr>
                <w:b/>
                <w:bCs/>
              </w:rPr>
              <w:t>Nilai rata-rata OEE</w:t>
            </w:r>
          </w:p>
        </w:tc>
      </w:tr>
      <w:tr w:rsidR="00FA0A53" w14:paraId="448BA6DB" w14:textId="77777777" w:rsidTr="00253500">
        <w:tc>
          <w:tcPr>
            <w:tcW w:w="2265" w:type="dxa"/>
            <w:vAlign w:val="center"/>
          </w:tcPr>
          <w:p w14:paraId="2ABE65E7" w14:textId="2A22615D" w:rsidR="00FA0A53" w:rsidRDefault="00D17E56" w:rsidP="00FA0A53">
            <w:pPr>
              <w:pStyle w:val="TableCaption"/>
              <w:spacing w:before="0"/>
            </w:pPr>
            <w:r>
              <w:t>97,39%</w:t>
            </w:r>
          </w:p>
        </w:tc>
        <w:tc>
          <w:tcPr>
            <w:tcW w:w="2265" w:type="dxa"/>
            <w:vAlign w:val="center"/>
          </w:tcPr>
          <w:p w14:paraId="655810DA" w14:textId="26F91079" w:rsidR="00FA0A53" w:rsidRDefault="00D17E56" w:rsidP="00FA0A53">
            <w:pPr>
              <w:pStyle w:val="TableCaption"/>
              <w:spacing w:before="0"/>
            </w:pPr>
            <w:r>
              <w:t>88,52%</w:t>
            </w:r>
          </w:p>
        </w:tc>
        <w:tc>
          <w:tcPr>
            <w:tcW w:w="2265" w:type="dxa"/>
            <w:vAlign w:val="center"/>
          </w:tcPr>
          <w:p w14:paraId="7E8B7566" w14:textId="289ADB08" w:rsidR="00FA0A53" w:rsidRDefault="00D17E56" w:rsidP="00FA0A53">
            <w:pPr>
              <w:pStyle w:val="TableCaption"/>
              <w:spacing w:before="0"/>
            </w:pPr>
            <w:r>
              <w:t>100%</w:t>
            </w:r>
          </w:p>
        </w:tc>
        <w:tc>
          <w:tcPr>
            <w:tcW w:w="2266" w:type="dxa"/>
            <w:vAlign w:val="center"/>
          </w:tcPr>
          <w:p w14:paraId="4723D413" w14:textId="2001553C" w:rsidR="00FA0A53" w:rsidRDefault="00D17E56" w:rsidP="00FA0A53">
            <w:pPr>
              <w:pStyle w:val="TableCaption"/>
              <w:spacing w:before="0"/>
            </w:pPr>
            <w:r>
              <w:t>97,39%</w:t>
            </w:r>
          </w:p>
        </w:tc>
      </w:tr>
    </w:tbl>
    <w:p w14:paraId="5AB43C76" w14:textId="77777777" w:rsidR="00FA0A53" w:rsidRDefault="00FA0A53" w:rsidP="00637DF6">
      <w:pPr>
        <w:pStyle w:val="TableCaption"/>
        <w:jc w:val="left"/>
      </w:pPr>
    </w:p>
    <w:p w14:paraId="387AEA66" w14:textId="5BA88EBF" w:rsidR="00637DF6" w:rsidRDefault="00637DF6" w:rsidP="00637DF6">
      <w:pPr>
        <w:pStyle w:val="TableCaption"/>
      </w:pPr>
      <w:r>
        <w:rPr>
          <w:noProof/>
        </w:rPr>
        <w:drawing>
          <wp:inline distT="0" distB="0" distL="0" distR="0" wp14:anchorId="6C792E8B" wp14:editId="2E82BC1F">
            <wp:extent cx="5810250" cy="3286125"/>
            <wp:effectExtent l="0" t="0" r="0" b="0"/>
            <wp:docPr id="42" name="Chart 42">
              <a:extLst xmlns:a="http://schemas.openxmlformats.org/drawingml/2006/main">
                <a:ext uri="{FF2B5EF4-FFF2-40B4-BE49-F238E27FC236}">
                  <a16:creationId xmlns:a16="http://schemas.microsoft.com/office/drawing/2014/main" id="{51821CE5-7F1D-40E7-ADBB-E14ED490B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574990" w14:textId="0AF97E2A" w:rsidR="003172D2" w:rsidRDefault="003172D2" w:rsidP="00637DF6">
      <w:pPr>
        <w:pStyle w:val="TableCaption"/>
      </w:pPr>
      <w:r>
        <w:t>Gambar 6 Nilai availability, performance, quality dan OEE mulai kurun waktu 10 Januari-12 Febuari 2024</w:t>
      </w:r>
    </w:p>
    <w:p w14:paraId="4056B30D" w14:textId="77777777" w:rsidR="00FA0A53" w:rsidRDefault="00FA0A53" w:rsidP="00FA0A53">
      <w:pPr>
        <w:pStyle w:val="Paragraph"/>
        <w:ind w:firstLine="0"/>
      </w:pPr>
    </w:p>
    <w:p w14:paraId="426AAB13" w14:textId="32620E44" w:rsidR="00293D90" w:rsidRDefault="0012269A" w:rsidP="00C217C6">
      <w:pPr>
        <w:pStyle w:val="Paragraph"/>
      </w:pPr>
      <w:r>
        <w:lastRenderedPageBreak/>
        <w:t xml:space="preserve">Analisa OEE menunjukkan bahwa nilai rata-rata yang diperoleh sebesar 97,39%. Hal ini membuktikan bahwa secara rata-rata mesin ball mill yang beroperasi di PT XYZ masuk dalam kualifikasi standar dunia </w:t>
      </w:r>
      <w:r>
        <w:fldChar w:fldCharType="begin" w:fldLock="1"/>
      </w:r>
      <w:r w:rsidR="0021171D">
        <w:instrText>ADDIN CSL_CITATION {"citationItems":[{"id":"ITEM-1","itemData":{"DOI":"10.5267/j.msl.2022.12.002","ISSN":"19239335","abstract":"The poor maintenance and usage of the equipment and machines of a vegetable oil manufacturing company adversely affect its competitive advantage. These industries are faced with numerous equipment maintenance challenges in the path to increasing their throughput as well as profitability. To address the said maintenance challenges, process data were obtained for the Overall Equipment Effectiveness (OEE) factors after their Total Productive Maintenance (TPM) implementation in the company. Minitab 21 software was used to analyze the data collected, and the results showed that the mean for quality, availability, and performance obtained were 96.929%, 63.35%, and 61.20%, respectively. This shows that the quality of products is the greatest OEE factor that vegetable oil manufacturing companies must consider meticulously to reduce the six big losses in their production processes. Response Surface Method (RSM) with Central Composite design, with the application of Design Expert 13 software, was used to model, analyze, and optimize the Overall Equipment Effectiveness (OEE) using availability, quality, and performance as the input parameters. The analysis of both the actual and coded values, which is the main contribution of the study, showed that quality has the greatest value followed by availability and performance. It was found that, to effectively reduce the six big losses, the quality, performance, and availability should be targeted as 98.3052%, 81.6022%, and 80.103%, respectively.","author":[{"dropping-particle":"","family":"Tonny","given":"Faria Aktar","non-dropping-particle":"","parse-names":false,"suffix":""},{"dropping-particle":"","family":"Maliha","given":"Ayesha","non-dropping-particle":"","parse-names":false,"suffix":""},{"dropping-particle":"","family":"Chayan","given":"Mahedi Islam","non-dropping-particle":"","parse-names":false,"suffix":""},{"dropping-particle":"","family":"Xames","given":"Md Doulotuzzaman","non-dropping-particle":"","parse-names":false,"suffix":""}],"container-title":"Management Science Letters","id":"ITEM-1","issue":"2","issued":{"date-parts":[["2023"]]},"page":"124-135","title":"Optimization of overall equipment effectiveness (OEE) factors: Case study of a vegetable oil manufacturing company","type":"article-journal","volume":"13"},"uris":["http://www.mendeley.com/documents/?uuid=ca7130bf-0030-4492-a22e-7a00cce3ee44"]}],"mendeley":{"formattedCitation":"[12]","plainTextFormattedCitation":"[12]","previouslyFormattedCitation":"[12]"},"properties":{"noteIndex":0},"schema":"https://github.com/citation-style-language/schema/raw/master/csl-citation.json"}</w:instrText>
      </w:r>
      <w:r>
        <w:fldChar w:fldCharType="separate"/>
      </w:r>
      <w:r w:rsidRPr="0012269A">
        <w:rPr>
          <w:noProof/>
        </w:rPr>
        <w:t>[12]</w:t>
      </w:r>
      <w:r>
        <w:fldChar w:fldCharType="end"/>
      </w:r>
      <w:r>
        <w:t xml:space="preserve">. </w:t>
      </w:r>
      <w:r w:rsidR="004739E0">
        <w:t xml:space="preserve">Nilai OEE yang tidak sesuai standar dunia dapat dilihat pada Tabel 3. Nilai OEE terendah berapa pada tanggal 27 Januari 2024 yaitu sebesar 62,28%. Temuan ini sejalan dengan </w:t>
      </w:r>
      <w:r w:rsidR="0021171D">
        <w:t xml:space="preserve">perhitungan nilai availability pada Tabel 2 dimana pada tanggal 27 Januari 2024 terdapat downtime yang tinggi akibat kerusakan komponen mesin ball mill sehingga berpengaruh pada nilai OEE mesin. Analisis ini sejalan dengan temuan pada studi kasus lain dimana downtime suatu proses akibat kerusakan alat mempengaruhi nilai OEE </w:t>
      </w:r>
      <w:r w:rsidR="0021171D">
        <w:fldChar w:fldCharType="begin" w:fldLock="1"/>
      </w:r>
      <w:r w:rsidR="009962DA">
        <w:instrText>ADDIN CSL_CITATION {"citationItems":[{"id":"ITEM-1","itemData":{"DOI":"10.3390/su10093031","ISSN":"20711050","abstract":"Nowadays, small and medium sized enterprises (SMEs) are becoming increasingly competitive. In order to fulfill the rapidly changing market and diversified demands of customers, the SMEs need to achieve and maintain high productivity and quality, with fast response, sufficient flexibility, and short lead times. Therefore, Industry 4.0 offers various manufacturing paradigms that might be a solution in order to increase the productivity of SMEs such as intelligent and flexible manufacturing. Furthermore, in the last decade, the emphasis on adopting eco-friendly practices, implementing sustainability measures, and protecting the environment has continued to grow, to gain traction across SMEs. In fact, because of this need, many SMEs are now adopting sustainable manufacturing practices in response to this increased focus on sustainability and environmental stewardship. The main purpose of this paper is to design and study the implementation of a sustainable, intelligent material handling system for material distribution with utilizing an agent-based algorithm as control architecture. A time study-based methodology has been implemented to evaluate the overall equipment effectiveness (OEE) to identify the matters that need to be resolved and optimized to increase the OEE percentage with consideration of the sustainability of the system. An exhaustive analytical trend applied to the generated time study data. Accordingly, further hardware, software, and layout design limitation and problems detected, and the proper solutions were anticipated. The observed time study results were presented, a fundamental set of analytical observation and information with associated histograms was reviewed. In addition, the study aims to recognize and analyze effective factors on the sustainability of improved processes, using a simple model. To do this, using experts' viewpoints, affective factors on the sustainability of process improvement activities are determined.","author":[{"dropping-particle":"","family":"Yazdi","given":"Poorya Ghafoorpoor","non-dropping-particle":"","parse-names":false,"suffix":""},{"dropping-particle":"","family":"Azizi","given":"Aydin","non-dropping-particle":"","parse-names":false,"suffix":""},{"dropping-particle":"","family":"Hashemipour","given":"Majid","non-dropping-particle":"","parse-names":false,"suffix":""}],"container-title":"Sustainability (Switzerland)","id":"ITEM-1","issue":"9","issued":{"date-parts":[["2018"]]},"title":"An empirical investigation of the relationship between overall equipment efficiency (OEE) and manufacturing sustainability in industry 4.0 with time study approach","type":"article-journal","volume":"10"},"uris":["http://www.mendeley.com/documents/?uuid=dfef7326-6ad3-48fc-b178-0f5969097191"]}],"mendeley":{"formattedCitation":"[9]","plainTextFormattedCitation":"[9]","previouslyFormattedCitation":"[9]"},"properties":{"noteIndex":0},"schema":"https://github.com/citation-style-language/schema/raw/master/csl-citation.json"}</w:instrText>
      </w:r>
      <w:r w:rsidR="0021171D">
        <w:fldChar w:fldCharType="separate"/>
      </w:r>
      <w:r w:rsidR="0021171D" w:rsidRPr="0021171D">
        <w:rPr>
          <w:noProof/>
        </w:rPr>
        <w:t>[9]</w:t>
      </w:r>
      <w:r w:rsidR="0021171D">
        <w:fldChar w:fldCharType="end"/>
      </w:r>
      <w:r w:rsidR="0021171D">
        <w:t>.</w:t>
      </w:r>
    </w:p>
    <w:p w14:paraId="3E6948A4" w14:textId="73FA1C25" w:rsidR="004739E0" w:rsidRDefault="004739E0" w:rsidP="004739E0">
      <w:pPr>
        <w:pStyle w:val="TableCaption"/>
      </w:pPr>
      <w:r w:rsidRPr="00566345">
        <w:t xml:space="preserve">Tabel </w:t>
      </w:r>
      <w:r>
        <w:t>3</w:t>
      </w:r>
      <w:r>
        <w:t xml:space="preserve"> Hasil perhitungan </w:t>
      </w:r>
      <w:r>
        <w:t>nilai OEE yang tidak sesuai standar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4739E0" w14:paraId="7D0E5B69" w14:textId="77777777" w:rsidTr="004739E0">
        <w:tc>
          <w:tcPr>
            <w:tcW w:w="4530" w:type="dxa"/>
            <w:tcBorders>
              <w:top w:val="single" w:sz="4" w:space="0" w:color="auto"/>
              <w:bottom w:val="single" w:sz="4" w:space="0" w:color="auto"/>
            </w:tcBorders>
            <w:vAlign w:val="center"/>
          </w:tcPr>
          <w:p w14:paraId="14136C6F" w14:textId="0D94411E" w:rsidR="004739E0" w:rsidRPr="004739E0" w:rsidRDefault="004739E0" w:rsidP="004739E0">
            <w:pPr>
              <w:pStyle w:val="Paragraph"/>
              <w:ind w:firstLine="0"/>
              <w:jc w:val="center"/>
              <w:rPr>
                <w:b/>
                <w:bCs/>
              </w:rPr>
            </w:pPr>
            <w:r w:rsidRPr="004739E0">
              <w:rPr>
                <w:b/>
                <w:bCs/>
              </w:rPr>
              <w:t>Tanggal</w:t>
            </w:r>
          </w:p>
        </w:tc>
        <w:tc>
          <w:tcPr>
            <w:tcW w:w="4531" w:type="dxa"/>
            <w:tcBorders>
              <w:top w:val="single" w:sz="4" w:space="0" w:color="auto"/>
              <w:bottom w:val="single" w:sz="4" w:space="0" w:color="auto"/>
            </w:tcBorders>
            <w:vAlign w:val="center"/>
          </w:tcPr>
          <w:p w14:paraId="48338F54" w14:textId="30B37ACD" w:rsidR="004739E0" w:rsidRPr="004739E0" w:rsidRDefault="004739E0" w:rsidP="004739E0">
            <w:pPr>
              <w:pStyle w:val="Paragraph"/>
              <w:ind w:firstLine="0"/>
              <w:jc w:val="center"/>
              <w:rPr>
                <w:b/>
                <w:bCs/>
              </w:rPr>
            </w:pPr>
            <w:r w:rsidRPr="004739E0">
              <w:rPr>
                <w:b/>
                <w:bCs/>
              </w:rPr>
              <w:t>Nilai OEE</w:t>
            </w:r>
          </w:p>
        </w:tc>
      </w:tr>
      <w:tr w:rsidR="004739E0" w14:paraId="4F7C0EE2" w14:textId="77777777" w:rsidTr="004739E0">
        <w:tc>
          <w:tcPr>
            <w:tcW w:w="4530" w:type="dxa"/>
            <w:tcBorders>
              <w:top w:val="single" w:sz="4" w:space="0" w:color="auto"/>
            </w:tcBorders>
            <w:vAlign w:val="center"/>
          </w:tcPr>
          <w:p w14:paraId="2AD5B971" w14:textId="70646AD4" w:rsidR="004739E0" w:rsidRDefault="004739E0" w:rsidP="004739E0">
            <w:pPr>
              <w:pStyle w:val="Paragraph"/>
              <w:ind w:firstLine="0"/>
              <w:jc w:val="center"/>
            </w:pPr>
            <w:r>
              <w:t>11 Januari 2024</w:t>
            </w:r>
          </w:p>
        </w:tc>
        <w:tc>
          <w:tcPr>
            <w:tcW w:w="4531" w:type="dxa"/>
            <w:tcBorders>
              <w:top w:val="single" w:sz="4" w:space="0" w:color="auto"/>
            </w:tcBorders>
            <w:vAlign w:val="center"/>
          </w:tcPr>
          <w:p w14:paraId="6437E5E9" w14:textId="23F3B5A1" w:rsidR="004739E0" w:rsidRDefault="004739E0" w:rsidP="004739E0">
            <w:pPr>
              <w:pStyle w:val="Paragraph"/>
              <w:ind w:firstLine="0"/>
              <w:jc w:val="center"/>
            </w:pPr>
            <w:r>
              <w:t>79,60%</w:t>
            </w:r>
          </w:p>
        </w:tc>
      </w:tr>
      <w:tr w:rsidR="004739E0" w14:paraId="3EA41BC3" w14:textId="77777777" w:rsidTr="004739E0">
        <w:tc>
          <w:tcPr>
            <w:tcW w:w="4530" w:type="dxa"/>
            <w:vAlign w:val="center"/>
          </w:tcPr>
          <w:p w14:paraId="6553DBE0" w14:textId="2B9AC05C" w:rsidR="004739E0" w:rsidRDefault="004739E0" w:rsidP="004739E0">
            <w:pPr>
              <w:pStyle w:val="Paragraph"/>
              <w:ind w:firstLine="0"/>
              <w:jc w:val="center"/>
            </w:pPr>
            <w:r>
              <w:t>22 Januari 2024</w:t>
            </w:r>
          </w:p>
        </w:tc>
        <w:tc>
          <w:tcPr>
            <w:tcW w:w="4531" w:type="dxa"/>
            <w:vAlign w:val="center"/>
          </w:tcPr>
          <w:p w14:paraId="5D27102B" w14:textId="3306B8C8" w:rsidR="004739E0" w:rsidRDefault="004739E0" w:rsidP="004739E0">
            <w:pPr>
              <w:pStyle w:val="Paragraph"/>
              <w:ind w:firstLine="0"/>
              <w:jc w:val="center"/>
            </w:pPr>
            <w:r>
              <w:t>84,20%</w:t>
            </w:r>
          </w:p>
        </w:tc>
      </w:tr>
      <w:tr w:rsidR="004739E0" w14:paraId="7C4935B6" w14:textId="77777777" w:rsidTr="004739E0">
        <w:tc>
          <w:tcPr>
            <w:tcW w:w="4530" w:type="dxa"/>
            <w:vAlign w:val="center"/>
          </w:tcPr>
          <w:p w14:paraId="38C9CF06" w14:textId="42760FB9" w:rsidR="004739E0" w:rsidRDefault="004739E0" w:rsidP="004739E0">
            <w:pPr>
              <w:pStyle w:val="Paragraph"/>
              <w:ind w:firstLine="0"/>
              <w:jc w:val="center"/>
            </w:pPr>
            <w:r>
              <w:t>23 Januari 2024</w:t>
            </w:r>
          </w:p>
        </w:tc>
        <w:tc>
          <w:tcPr>
            <w:tcW w:w="4531" w:type="dxa"/>
            <w:vAlign w:val="center"/>
          </w:tcPr>
          <w:p w14:paraId="3117E216" w14:textId="1F4D1A78" w:rsidR="004739E0" w:rsidRDefault="004739E0" w:rsidP="004739E0">
            <w:pPr>
              <w:pStyle w:val="Paragraph"/>
              <w:ind w:firstLine="0"/>
              <w:jc w:val="center"/>
            </w:pPr>
            <w:r>
              <w:t>80,57%</w:t>
            </w:r>
          </w:p>
        </w:tc>
      </w:tr>
      <w:tr w:rsidR="004739E0" w14:paraId="58CD7742" w14:textId="77777777" w:rsidTr="004739E0">
        <w:tc>
          <w:tcPr>
            <w:tcW w:w="4530" w:type="dxa"/>
            <w:vAlign w:val="center"/>
          </w:tcPr>
          <w:p w14:paraId="1F9E9183" w14:textId="40435F3E" w:rsidR="004739E0" w:rsidRDefault="004739E0" w:rsidP="004739E0">
            <w:pPr>
              <w:pStyle w:val="Paragraph"/>
              <w:ind w:firstLine="0"/>
              <w:jc w:val="center"/>
            </w:pPr>
            <w:r>
              <w:t>25 Januari 2024</w:t>
            </w:r>
          </w:p>
        </w:tc>
        <w:tc>
          <w:tcPr>
            <w:tcW w:w="4531" w:type="dxa"/>
            <w:vAlign w:val="center"/>
          </w:tcPr>
          <w:p w14:paraId="214114F3" w14:textId="7F79A92B" w:rsidR="004739E0" w:rsidRDefault="004739E0" w:rsidP="004739E0">
            <w:pPr>
              <w:pStyle w:val="Paragraph"/>
              <w:ind w:firstLine="0"/>
              <w:jc w:val="center"/>
            </w:pPr>
            <w:r>
              <w:t>83,32%</w:t>
            </w:r>
          </w:p>
        </w:tc>
      </w:tr>
      <w:tr w:rsidR="004739E0" w14:paraId="3647CEBD" w14:textId="77777777" w:rsidTr="004739E0">
        <w:tc>
          <w:tcPr>
            <w:tcW w:w="4530" w:type="dxa"/>
            <w:vAlign w:val="center"/>
          </w:tcPr>
          <w:p w14:paraId="5ADBF53C" w14:textId="2CD8C07F" w:rsidR="004739E0" w:rsidRDefault="004739E0" w:rsidP="004739E0">
            <w:pPr>
              <w:pStyle w:val="Paragraph"/>
              <w:ind w:firstLine="0"/>
              <w:jc w:val="center"/>
            </w:pPr>
            <w:r>
              <w:t>26 Januari 2024</w:t>
            </w:r>
          </w:p>
        </w:tc>
        <w:tc>
          <w:tcPr>
            <w:tcW w:w="4531" w:type="dxa"/>
            <w:vAlign w:val="center"/>
          </w:tcPr>
          <w:p w14:paraId="435BDD5B" w14:textId="2B62A98E" w:rsidR="004739E0" w:rsidRDefault="004739E0" w:rsidP="004739E0">
            <w:pPr>
              <w:pStyle w:val="Paragraph"/>
              <w:ind w:firstLine="0"/>
              <w:jc w:val="center"/>
            </w:pPr>
            <w:r>
              <w:t>83,51%</w:t>
            </w:r>
          </w:p>
        </w:tc>
      </w:tr>
      <w:tr w:rsidR="004739E0" w14:paraId="61EEC118" w14:textId="77777777" w:rsidTr="004739E0">
        <w:tc>
          <w:tcPr>
            <w:tcW w:w="4530" w:type="dxa"/>
            <w:vAlign w:val="center"/>
          </w:tcPr>
          <w:p w14:paraId="7BD30AF6" w14:textId="64BBED5D" w:rsidR="004739E0" w:rsidRDefault="004739E0" w:rsidP="004739E0">
            <w:pPr>
              <w:pStyle w:val="Paragraph"/>
              <w:ind w:firstLine="0"/>
              <w:jc w:val="center"/>
            </w:pPr>
            <w:r>
              <w:t>27 Januari 2024</w:t>
            </w:r>
          </w:p>
        </w:tc>
        <w:tc>
          <w:tcPr>
            <w:tcW w:w="4531" w:type="dxa"/>
            <w:vAlign w:val="center"/>
          </w:tcPr>
          <w:p w14:paraId="6A588B8E" w14:textId="5531FF35" w:rsidR="004739E0" w:rsidRDefault="004739E0" w:rsidP="004739E0">
            <w:pPr>
              <w:pStyle w:val="Paragraph"/>
              <w:ind w:firstLine="0"/>
              <w:jc w:val="center"/>
            </w:pPr>
            <w:r>
              <w:t>62,28%</w:t>
            </w:r>
          </w:p>
        </w:tc>
      </w:tr>
      <w:tr w:rsidR="004739E0" w14:paraId="34D85396" w14:textId="77777777" w:rsidTr="004739E0">
        <w:tc>
          <w:tcPr>
            <w:tcW w:w="4530" w:type="dxa"/>
            <w:vAlign w:val="center"/>
          </w:tcPr>
          <w:p w14:paraId="00583AA5" w14:textId="7A187A27" w:rsidR="004739E0" w:rsidRDefault="004739E0" w:rsidP="004739E0">
            <w:pPr>
              <w:pStyle w:val="Paragraph"/>
              <w:ind w:firstLine="0"/>
              <w:jc w:val="center"/>
            </w:pPr>
            <w:r>
              <w:t>2 Febuari 2024</w:t>
            </w:r>
          </w:p>
        </w:tc>
        <w:tc>
          <w:tcPr>
            <w:tcW w:w="4531" w:type="dxa"/>
            <w:vAlign w:val="center"/>
          </w:tcPr>
          <w:p w14:paraId="53CE8530" w14:textId="492CA0E7" w:rsidR="004739E0" w:rsidRDefault="004739E0" w:rsidP="004739E0">
            <w:pPr>
              <w:pStyle w:val="Paragraph"/>
              <w:ind w:firstLine="0"/>
              <w:jc w:val="center"/>
            </w:pPr>
            <w:r>
              <w:t>82,69%</w:t>
            </w:r>
          </w:p>
        </w:tc>
      </w:tr>
      <w:tr w:rsidR="004739E0" w14:paraId="7F3E9478" w14:textId="77777777" w:rsidTr="004739E0">
        <w:tc>
          <w:tcPr>
            <w:tcW w:w="4530" w:type="dxa"/>
            <w:vAlign w:val="center"/>
          </w:tcPr>
          <w:p w14:paraId="6A0B7EDA" w14:textId="18132B92" w:rsidR="004739E0" w:rsidRDefault="004739E0" w:rsidP="004739E0">
            <w:pPr>
              <w:pStyle w:val="Paragraph"/>
              <w:ind w:firstLine="0"/>
              <w:jc w:val="center"/>
            </w:pPr>
            <w:r>
              <w:t>3 Febuari 2024</w:t>
            </w:r>
          </w:p>
        </w:tc>
        <w:tc>
          <w:tcPr>
            <w:tcW w:w="4531" w:type="dxa"/>
            <w:vAlign w:val="center"/>
          </w:tcPr>
          <w:p w14:paraId="560E5779" w14:textId="4AC9E660" w:rsidR="004739E0" w:rsidRDefault="004739E0" w:rsidP="004739E0">
            <w:pPr>
              <w:pStyle w:val="Paragraph"/>
              <w:ind w:firstLine="0"/>
              <w:jc w:val="center"/>
            </w:pPr>
            <w:r>
              <w:t>82,22%</w:t>
            </w:r>
          </w:p>
        </w:tc>
      </w:tr>
    </w:tbl>
    <w:p w14:paraId="38B0146F" w14:textId="77777777" w:rsidR="004739E0" w:rsidRDefault="004739E0" w:rsidP="004739E0">
      <w:pPr>
        <w:pStyle w:val="Paragraph"/>
        <w:ind w:firstLine="0"/>
      </w:pPr>
    </w:p>
    <w:p w14:paraId="76A92E31" w14:textId="75281545" w:rsidR="0021171D" w:rsidRDefault="0021171D" w:rsidP="0021171D">
      <w:pPr>
        <w:pStyle w:val="Heading2"/>
      </w:pPr>
      <w:r>
        <w:t>3.</w:t>
      </w:r>
      <w:r>
        <w:t>3</w:t>
      </w:r>
      <w:r>
        <w:t xml:space="preserve"> </w:t>
      </w:r>
      <w:r w:rsidR="00F27150">
        <w:t xml:space="preserve">Hubungan Nilai OEE dengan </w:t>
      </w:r>
      <w:r w:rsidR="004C7153">
        <w:t>Perawatan Mesin</w:t>
      </w:r>
    </w:p>
    <w:p w14:paraId="27169098" w14:textId="553622C0" w:rsidR="004C7153" w:rsidRDefault="009F643C" w:rsidP="004C7153">
      <w:pPr>
        <w:pStyle w:val="Paragraph"/>
      </w:pPr>
      <w:r>
        <w:t xml:space="preserve">Perhitungan variabel </w:t>
      </w:r>
      <w:r>
        <w:t>availability, performance, quality dan OEE</w:t>
      </w:r>
      <w:r>
        <w:t xml:space="preserve"> memerlukan beberapa variabel dasar seperti pada Persamaan (1) sampai dengan Persamaan (3). Gambar 7 </w:t>
      </w:r>
      <w:r w:rsidR="00EE2CB7">
        <w:t xml:space="preserve">menunjukkan </w:t>
      </w:r>
      <w:r w:rsidR="00A97924">
        <w:t xml:space="preserve">hubungan antara total count (TC), planned production (PP) dan downtime (D). Gambar 7 menunjukkan bahwa penggunaan lead lump pada mesin ball mill dengan planned production atau produksi yang terencana memiliki nilai trend yang sama. </w:t>
      </w:r>
      <w:r w:rsidR="00E27AAB">
        <w:t xml:space="preserve">Temuan tersebut mengindikasikan bahwa </w:t>
      </w:r>
      <w:r w:rsidR="00E27AAB" w:rsidRPr="00E27AAB">
        <w:t>waktu proses produksi yang terencana berpengaruh pada total penggunaan lead lump yang sebagai input dari mesin ball mill. Semakin lama proses produksi yang dilakukan, maka juga semakin banyak penggunaan lead lump oleh mesin ball mill.</w:t>
      </w:r>
      <w:r w:rsidR="00E27AAB">
        <w:t xml:space="preserve"> </w:t>
      </w:r>
    </w:p>
    <w:p w14:paraId="0E4F0B3A" w14:textId="51968F28" w:rsidR="005A6509" w:rsidRPr="004C7153" w:rsidRDefault="005A6509" w:rsidP="005A6509">
      <w:pPr>
        <w:pStyle w:val="Paragraph"/>
        <w:ind w:firstLine="0"/>
        <w:jc w:val="center"/>
      </w:pPr>
      <w:r>
        <w:rPr>
          <w:noProof/>
        </w:rPr>
        <w:drawing>
          <wp:inline distT="0" distB="0" distL="0" distR="0" wp14:anchorId="17FEE273" wp14:editId="3CC975BA">
            <wp:extent cx="5353050" cy="2847975"/>
            <wp:effectExtent l="0" t="0" r="0" b="0"/>
            <wp:docPr id="92" name="Chart 92">
              <a:extLst xmlns:a="http://schemas.openxmlformats.org/drawingml/2006/main">
                <a:ext uri="{FF2B5EF4-FFF2-40B4-BE49-F238E27FC236}">
                  <a16:creationId xmlns:a16="http://schemas.microsoft.com/office/drawing/2014/main" id="{DCB51D59-A734-40BF-82E8-7357F14CA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C6B472" w14:textId="77777777" w:rsidR="009C3591" w:rsidRDefault="009C3591" w:rsidP="006964BA"/>
    <w:p w14:paraId="64823B80" w14:textId="45FC774B" w:rsidR="005A6509" w:rsidRDefault="005A6509" w:rsidP="005A6509">
      <w:pPr>
        <w:jc w:val="center"/>
      </w:pPr>
      <w:r>
        <w:t xml:space="preserve">Gambar 7 Hubungan antara </w:t>
      </w:r>
      <w:r>
        <w:t>total count (TC), planned production (PP) dan downtime (D)</w:t>
      </w:r>
    </w:p>
    <w:p w14:paraId="1B69115F" w14:textId="38C0503F" w:rsidR="005A6509" w:rsidRDefault="005A6509" w:rsidP="005A6509">
      <w:pPr>
        <w:pStyle w:val="Paragraph"/>
      </w:pPr>
      <w:r>
        <w:lastRenderedPageBreak/>
        <w:t>Downtime yang meningkat akan berpengaruh terhadap nilai TC yang berkurang sehingga nilai OEE pun akan terpengaruh. Dengan analisa OEE yang dilakukan wa</w:t>
      </w:r>
      <w:r>
        <w:t>k</w:t>
      </w:r>
      <w:r>
        <w:t xml:space="preserve">tu-waktu dimana nilai OEE bearada pada ngka yang rendah dapat dievaluasi dan dicatat apa yang terjadi sehingga catatan tersebut dapat menjadi </w:t>
      </w:r>
      <w:r w:rsidRPr="005A6509">
        <w:t>prediksi kapan mesin ball mill harus beroperasi selama seharian penuh dan kapan mesin ball mill akan beroperasi selama beberapa jam saja. Hal ini akan mempermudah perusahaan untuk melakukan perencanaan proses produksi agar memenuhi kebutuhan pada proses selanjutnya yang lebih baik lagi.</w:t>
      </w:r>
    </w:p>
    <w:p w14:paraId="4BB93668" w14:textId="77777777" w:rsidR="005A6509" w:rsidRDefault="005A6509" w:rsidP="006964BA"/>
    <w:p w14:paraId="17055F52" w14:textId="77777777" w:rsidR="00A761AD" w:rsidRDefault="00A761AD" w:rsidP="00E27B43">
      <w:pPr>
        <w:pStyle w:val="Heading1"/>
      </w:pPr>
      <w:r>
        <w:t>4. Kesimpulan</w:t>
      </w:r>
    </w:p>
    <w:p w14:paraId="428D1B1B" w14:textId="325CD92C" w:rsidR="005A6509" w:rsidRDefault="005A6509" w:rsidP="00C217C6">
      <w:pPr>
        <w:pStyle w:val="Paragraph"/>
      </w:pPr>
      <w:r>
        <w:t>Sistem pemantauan penggunaan lead lump pada mesin ball mill di PT XYZ telah berhasil dilakukan. Sistem pencatatan tersebut dapat memantau penggunaan lead lump pada mesin ball mill saat proses produksi. Nilai penggunaan lead lump dapat menjadi pedoman dalam analisis OEE yang hasilnya</w:t>
      </w:r>
      <w:r w:rsidR="00F91830">
        <w:t xml:space="preserve"> bisa digunakan untuk merencanakan proses produksi dan perawatan. Hasil analisis OEE pada penelitian ini menunjukkan bahwa mesin ball mill di PT XYZ secara rata-rata masuk dalam standar produksi kelas dunia dimana nilai OEE lebih dari 85% </w:t>
      </w:r>
      <w:r w:rsidR="00F91830">
        <w:fldChar w:fldCharType="begin" w:fldLock="1"/>
      </w:r>
      <w:r w:rsidR="00F91830">
        <w:instrText>ADDIN CSL_CITATION {"citationItems":[{"id":"ITEM-1","itemData":{"DOI":"10.3390/pr8121648","ISSN":"22279717","abstract":"The article presents the problems connected with the performance evaluation of a flexible production system in the context of designing and integrating production and logistics subsystems. The goal of the performed analysis was to determine the parameters that have the most significant influence on the productivity of the whole system. The possibilities of using automated machine tools, automatic transport vehicles, as well as automated storage systems were pointed out. Moreover, the exemplary models are described, and the framework of simulation research related to the conceptual design of new production systems are indicated. In order to evaluate the system’s productivity, the use of Overall Equipment Efficiency (OEE) metrics was proposed, which is typically used for stationary resources such as machines. This paper aims to prove the hypothesis that the OEE metric can also be used for transport facilities such as Automated Guided Vehicles (AGVs). The developed models include the parameters regarding availability and failure of AGVs as well as production efficiency and quality, which allows the more accurate mapping of manufacturing processes. As the result, the Overall Factory Efficiency (OFE) and Overall Transport Efficiency (OTE) metrics were obtained. The obtained outcomes can be directly related to similar production systems that belong to World Class Manufacturing (WCM) or World Class Logistics (WCL), leading to the in-depth planning of such systems and their further improvement in the context of the Industry 4.0.","author":[{"dropping-particle":"","family":"Foit","given":"Krzysztof","non-dropping-particle":"","parse-names":false,"suffix":""},{"dropping-particle":"","family":"Gołda","given":"Grzegorz","non-dropping-particle":"","parse-names":false,"suffix":""},{"dropping-particle":"","family":"Kampa","given":"Adrian","non-dropping-particle":"","parse-names":false,"suffix":""}],"container-title":"Processes","id":"ITEM-1","issue":"12","issued":{"date-parts":[["2020"]]},"page":"1-15","title":"Integration and evaluation of intra-logistics processes in flexible production systems based on oee metrics, with the use of computer modelling and simulation of agvs","type":"article-journal","volume":"8"},"uris":["http://www.mendeley.com/documents/?uuid=d70c0efd-4b33-4294-982f-ddc04045dab9"]}],"mendeley":{"formattedCitation":"[8]","plainTextFormattedCitation":"[8]"},"properties":{"noteIndex":0},"schema":"https://github.com/citation-style-language/schema/raw/master/csl-citation.json"}</w:instrText>
      </w:r>
      <w:r w:rsidR="00F91830">
        <w:fldChar w:fldCharType="separate"/>
      </w:r>
      <w:r w:rsidR="00F91830" w:rsidRPr="00F91830">
        <w:rPr>
          <w:noProof/>
        </w:rPr>
        <w:t>[8]</w:t>
      </w:r>
      <w:r w:rsidR="00F91830">
        <w:fldChar w:fldCharType="end"/>
      </w:r>
      <w:r w:rsidR="00F91830">
        <w:t xml:space="preserve">. Dari keseluruhan data yang dianalisis, terdapat 8 hari dimana nilai OEE rendah. Nilai tersebut bila dinyatakan dalam bentuk persentase terhadap seluruh data yaitu sebesar 32%. Persentase ini masih tergolong tinggi. Namun, hal ini belum bisa mewakili </w:t>
      </w:r>
      <w:r w:rsidR="00436B53">
        <w:t>keseluruhan sistem. Data yang</w:t>
      </w:r>
      <w:r w:rsidR="00E676CD">
        <w:t xml:space="preserve"> </w:t>
      </w:r>
      <w:r w:rsidR="00436B53">
        <w:t>diambil masih terbatas karena waktu penelitian yang terbatas. Alasan tersebut dapat membuka jalan bagi penelitian lanjutan ke depan dimana sistem perlu dilakukan trial lanjutan untuk kemudian diambil data dan dilakukan analisa OEE minimal sampai satu tahun berikutnya</w:t>
      </w:r>
      <w:r w:rsidR="00E676CD">
        <w:t xml:space="preserve"> kemudian dilanjutkan dengan desain sistem predictive maintenance untuk mesin ball mill di PT XYZ.</w:t>
      </w:r>
    </w:p>
    <w:p w14:paraId="5E98C6E7" w14:textId="77777777" w:rsidR="005A6509" w:rsidRDefault="005A6509" w:rsidP="009C3591"/>
    <w:p w14:paraId="2FE41484" w14:textId="147B7088" w:rsidR="009C3591" w:rsidRDefault="009C3591" w:rsidP="009C3591">
      <w:r>
        <w:t>Daftar Notasi</w:t>
      </w:r>
    </w:p>
    <w:p w14:paraId="35EBD81E" w14:textId="5CA12C53" w:rsidR="009C3591" w:rsidRPr="00902190" w:rsidRDefault="00C37187" w:rsidP="009C3591">
      <w:pPr>
        <w:rPr>
          <w:lang w:val="id-ID"/>
        </w:rPr>
      </w:pPr>
      <m:oMath>
        <m:r>
          <w:rPr>
            <w:rFonts w:ascii="Cambria Math" w:hAnsi="Cambria Math"/>
            <w:lang w:val="it-IT"/>
          </w:rPr>
          <m:t>A</m:t>
        </m:r>
      </m:oMath>
      <w:r w:rsidR="009C3591">
        <w:rPr>
          <w:lang w:val="it-IT"/>
        </w:rPr>
        <w:tab/>
      </w:r>
      <w:r w:rsidR="009C3591" w:rsidRPr="00902190">
        <w:rPr>
          <w:lang w:val="it-IT"/>
        </w:rPr>
        <w:t>:</w:t>
      </w:r>
      <w:r w:rsidR="009C3591" w:rsidRPr="00902190">
        <w:rPr>
          <w:lang w:val="id-ID"/>
        </w:rPr>
        <w:t xml:space="preserve"> </w:t>
      </w:r>
      <w:r w:rsidRPr="009B285F">
        <w:rPr>
          <w:i/>
          <w:iCs/>
          <w:lang w:val="id-ID"/>
        </w:rPr>
        <w:t>Availability</w:t>
      </w:r>
      <w:r>
        <w:rPr>
          <w:lang w:val="id-ID"/>
        </w:rPr>
        <w:t xml:space="preserve"> (%).</w:t>
      </w:r>
    </w:p>
    <w:p w14:paraId="33CED276" w14:textId="5CDDB6B1" w:rsidR="009C3591" w:rsidRPr="00902190" w:rsidRDefault="00C37187" w:rsidP="009C3591">
      <w:pPr>
        <w:rPr>
          <w:lang w:val="it-IT"/>
        </w:rPr>
      </w:pPr>
      <m:oMath>
        <m:r>
          <w:rPr>
            <w:rFonts w:ascii="Cambria Math" w:hAnsi="Cambria Math"/>
            <w:lang w:val="it-IT"/>
          </w:rPr>
          <m:t>RT</m:t>
        </m:r>
      </m:oMath>
      <w:r w:rsidR="009C3591">
        <w:rPr>
          <w:lang w:val="it-IT"/>
        </w:rPr>
        <w:tab/>
      </w:r>
      <w:r w:rsidR="009C3591" w:rsidRPr="00902190">
        <w:rPr>
          <w:lang w:val="it-IT"/>
        </w:rPr>
        <w:t xml:space="preserve">: </w:t>
      </w:r>
      <w:r w:rsidRPr="009B285F">
        <w:rPr>
          <w:i/>
          <w:iCs/>
          <w:lang w:val="it-IT"/>
        </w:rPr>
        <w:t>Runtime</w:t>
      </w:r>
      <w:r>
        <w:rPr>
          <w:lang w:val="it-IT"/>
        </w:rPr>
        <w:t xml:space="preserve"> (menit)</w:t>
      </w:r>
      <w:r w:rsidR="009C3591" w:rsidRPr="00902190">
        <w:rPr>
          <w:lang w:val="it-IT"/>
        </w:rPr>
        <w:t>.</w:t>
      </w:r>
    </w:p>
    <w:p w14:paraId="206CD15C" w14:textId="2F9DF4BE" w:rsidR="009C3591" w:rsidRPr="00902190" w:rsidRDefault="00471424" w:rsidP="009C3591">
      <w:pPr>
        <w:rPr>
          <w:lang w:val="it-IT"/>
        </w:rPr>
      </w:pPr>
      <m:oMath>
        <m:r>
          <w:rPr>
            <w:rFonts w:ascii="Cambria Math" w:hAnsi="Cambria Math"/>
            <w:lang w:val="it-IT"/>
          </w:rPr>
          <m:t>PP</m:t>
        </m:r>
      </m:oMath>
      <w:r w:rsidR="009C3591">
        <w:rPr>
          <w:lang w:val="it-IT"/>
        </w:rPr>
        <w:tab/>
      </w:r>
      <w:r w:rsidR="009C3591" w:rsidRPr="00902190">
        <w:rPr>
          <w:lang w:val="it-IT"/>
        </w:rPr>
        <w:t>:</w:t>
      </w:r>
      <w:r w:rsidR="009C3591" w:rsidRPr="00204EED">
        <w:rPr>
          <w:lang w:val="it-IT"/>
        </w:rPr>
        <w:t xml:space="preserve"> </w:t>
      </w:r>
      <w:r w:rsidRPr="009B285F">
        <w:rPr>
          <w:i/>
          <w:iCs/>
          <w:lang w:val="it-IT"/>
        </w:rPr>
        <w:t>Planned Production</w:t>
      </w:r>
      <w:r>
        <w:rPr>
          <w:lang w:val="it-IT"/>
        </w:rPr>
        <w:t xml:space="preserve"> (menit)</w:t>
      </w:r>
      <w:r w:rsidR="009C3591" w:rsidRPr="00902190">
        <w:rPr>
          <w:lang w:val="it-IT"/>
        </w:rPr>
        <w:t>.</w:t>
      </w:r>
    </w:p>
    <w:p w14:paraId="09A87DC2" w14:textId="33C344F4" w:rsidR="009C3591" w:rsidRDefault="00471424" w:rsidP="009C3591">
      <w:pPr>
        <w:rPr>
          <w:lang w:val="it-IT"/>
        </w:rPr>
      </w:pPr>
      <m:oMath>
        <m:r>
          <w:rPr>
            <w:rFonts w:ascii="Cambria Math" w:hAnsi="Cambria Math"/>
            <w:lang w:val="it-IT"/>
          </w:rPr>
          <m:t>D</m:t>
        </m:r>
      </m:oMath>
      <w:r w:rsidR="009C3591">
        <w:rPr>
          <w:lang w:val="it-IT"/>
        </w:rPr>
        <w:tab/>
      </w:r>
      <w:r w:rsidR="009C3591" w:rsidRPr="00204EED">
        <w:rPr>
          <w:lang w:val="it-IT"/>
        </w:rPr>
        <w:t xml:space="preserve">: </w:t>
      </w:r>
      <w:r w:rsidRPr="009B285F">
        <w:rPr>
          <w:i/>
          <w:iCs/>
          <w:lang w:val="it-IT"/>
        </w:rPr>
        <w:t>Downtime</w:t>
      </w:r>
      <w:r>
        <w:rPr>
          <w:lang w:val="it-IT"/>
        </w:rPr>
        <w:t xml:space="preserve"> (menit)</w:t>
      </w:r>
      <w:r w:rsidR="009C3591" w:rsidRPr="00204EED">
        <w:rPr>
          <w:lang w:val="it-IT"/>
        </w:rPr>
        <w:t>.</w:t>
      </w:r>
    </w:p>
    <w:p w14:paraId="293D9250" w14:textId="5A2EFC48" w:rsidR="00C37187" w:rsidRPr="00902190" w:rsidRDefault="009B285F" w:rsidP="00C37187">
      <w:pPr>
        <w:rPr>
          <w:lang w:val="id-ID"/>
        </w:rPr>
      </w:pPr>
      <m:oMath>
        <m:r>
          <w:rPr>
            <w:rFonts w:ascii="Cambria Math" w:hAnsi="Cambria Math"/>
            <w:lang w:val="it-IT"/>
          </w:rPr>
          <m:t>P</m:t>
        </m:r>
      </m:oMath>
      <w:r w:rsidR="00C37187">
        <w:rPr>
          <w:lang w:val="it-IT"/>
        </w:rPr>
        <w:tab/>
      </w:r>
      <w:r w:rsidR="00C37187" w:rsidRPr="00902190">
        <w:rPr>
          <w:lang w:val="it-IT"/>
        </w:rPr>
        <w:t>:</w:t>
      </w:r>
      <w:r w:rsidR="00C37187" w:rsidRPr="00902190">
        <w:rPr>
          <w:lang w:val="id-ID"/>
        </w:rPr>
        <w:t xml:space="preserve"> </w:t>
      </w:r>
      <w:r w:rsidRPr="009B285F">
        <w:rPr>
          <w:i/>
          <w:iCs/>
          <w:lang w:val="id-ID"/>
        </w:rPr>
        <w:t>Performance</w:t>
      </w:r>
      <w:r w:rsidR="00C37187">
        <w:rPr>
          <w:lang w:val="id-ID"/>
        </w:rPr>
        <w:t xml:space="preserve"> (%).</w:t>
      </w:r>
    </w:p>
    <w:p w14:paraId="3A22C122" w14:textId="7F4B55BC" w:rsidR="00C37187" w:rsidRPr="00902190" w:rsidRDefault="009F643C" w:rsidP="00C37187">
      <w:pPr>
        <w:rPr>
          <w:lang w:val="it-IT"/>
        </w:rPr>
      </w:pPr>
      <m:oMath>
        <m:r>
          <w:rPr>
            <w:rFonts w:ascii="Cambria Math" w:hAnsi="Cambria Math"/>
            <w:lang w:val="it-IT"/>
          </w:rPr>
          <m:t>ICT</m:t>
        </m:r>
      </m:oMath>
      <w:r w:rsidR="00C37187">
        <w:rPr>
          <w:lang w:val="it-IT"/>
        </w:rPr>
        <w:tab/>
      </w:r>
      <w:r w:rsidR="00C37187" w:rsidRPr="00902190">
        <w:rPr>
          <w:lang w:val="it-IT"/>
        </w:rPr>
        <w:t xml:space="preserve">: </w:t>
      </w:r>
      <w:r>
        <w:rPr>
          <w:lang w:val="it-IT"/>
        </w:rPr>
        <w:t>Ideal Cycle Time</w:t>
      </w:r>
      <w:r w:rsidR="00C37187">
        <w:rPr>
          <w:lang w:val="it-IT"/>
        </w:rPr>
        <w:t xml:space="preserve"> (menit</w:t>
      </w:r>
      <w:r>
        <w:rPr>
          <w:lang w:val="it-IT"/>
        </w:rPr>
        <w:t>/kg</w:t>
      </w:r>
      <w:r w:rsidR="00C37187">
        <w:rPr>
          <w:lang w:val="it-IT"/>
        </w:rPr>
        <w:t>)</w:t>
      </w:r>
      <w:r w:rsidR="00C37187" w:rsidRPr="00902190">
        <w:rPr>
          <w:lang w:val="it-IT"/>
        </w:rPr>
        <w:t>.</w:t>
      </w:r>
    </w:p>
    <w:p w14:paraId="6258066C" w14:textId="6C0701D4" w:rsidR="00C37187" w:rsidRPr="00902190" w:rsidRDefault="009F643C" w:rsidP="00C37187">
      <w:pPr>
        <w:rPr>
          <w:lang w:val="it-IT"/>
        </w:rPr>
      </w:pPr>
      <m:oMath>
        <m:r>
          <w:rPr>
            <w:rFonts w:ascii="Cambria Math" w:hAnsi="Cambria Math"/>
            <w:lang w:val="it-IT"/>
          </w:rPr>
          <m:t>TC</m:t>
        </m:r>
      </m:oMath>
      <w:r w:rsidR="00C37187">
        <w:rPr>
          <w:lang w:val="it-IT"/>
        </w:rPr>
        <w:tab/>
      </w:r>
      <w:r w:rsidR="00C37187" w:rsidRPr="00902190">
        <w:rPr>
          <w:lang w:val="it-IT"/>
        </w:rPr>
        <w:t>:</w:t>
      </w:r>
      <w:r w:rsidR="00C37187" w:rsidRPr="00204EED">
        <w:rPr>
          <w:lang w:val="it-IT"/>
        </w:rPr>
        <w:t xml:space="preserve"> </w:t>
      </w:r>
      <w:r>
        <w:rPr>
          <w:lang w:val="it-IT"/>
        </w:rPr>
        <w:t>Total Count (kg)</w:t>
      </w:r>
      <w:r w:rsidR="00C37187" w:rsidRPr="00902190">
        <w:rPr>
          <w:lang w:val="it-IT"/>
        </w:rPr>
        <w:t>.</w:t>
      </w:r>
    </w:p>
    <w:p w14:paraId="71750E4A" w14:textId="313B4CAF" w:rsidR="009F643C" w:rsidRPr="00902190" w:rsidRDefault="009F643C" w:rsidP="009F643C">
      <w:pPr>
        <w:rPr>
          <w:lang w:val="it-IT"/>
        </w:rPr>
      </w:pPr>
      <m:oMath>
        <m:r>
          <w:rPr>
            <w:rFonts w:ascii="Cambria Math" w:hAnsi="Cambria Math"/>
            <w:lang w:val="it-IT"/>
          </w:rPr>
          <m:t>Q</m:t>
        </m:r>
      </m:oMath>
      <w:r>
        <w:rPr>
          <w:lang w:val="it-IT"/>
        </w:rPr>
        <w:tab/>
      </w:r>
      <w:r w:rsidRPr="00902190">
        <w:rPr>
          <w:lang w:val="it-IT"/>
        </w:rPr>
        <w:t xml:space="preserve">: </w:t>
      </w:r>
      <w:r>
        <w:rPr>
          <w:lang w:val="it-IT"/>
        </w:rPr>
        <w:t>Quality</w:t>
      </w:r>
      <w:r>
        <w:rPr>
          <w:lang w:val="it-IT"/>
        </w:rPr>
        <w:t xml:space="preserve"> (</w:t>
      </w:r>
      <w:r>
        <w:rPr>
          <w:lang w:val="it-IT"/>
        </w:rPr>
        <w:t>%</w:t>
      </w:r>
      <w:r>
        <w:rPr>
          <w:lang w:val="it-IT"/>
        </w:rPr>
        <w:t>)</w:t>
      </w:r>
      <w:r w:rsidRPr="00902190">
        <w:rPr>
          <w:lang w:val="it-IT"/>
        </w:rPr>
        <w:t>.</w:t>
      </w:r>
    </w:p>
    <w:p w14:paraId="32B231E2" w14:textId="6DE7378E" w:rsidR="009F643C" w:rsidRPr="00902190" w:rsidRDefault="009F643C" w:rsidP="009F643C">
      <w:pPr>
        <w:rPr>
          <w:lang w:val="it-IT"/>
        </w:rPr>
      </w:pPr>
      <m:oMath>
        <m:r>
          <w:rPr>
            <w:rFonts w:ascii="Cambria Math" w:hAnsi="Cambria Math"/>
            <w:lang w:val="it-IT"/>
          </w:rPr>
          <m:t>GC</m:t>
        </m:r>
      </m:oMath>
      <w:r>
        <w:rPr>
          <w:lang w:val="it-IT"/>
        </w:rPr>
        <w:tab/>
      </w:r>
      <w:r w:rsidRPr="00902190">
        <w:rPr>
          <w:lang w:val="it-IT"/>
        </w:rPr>
        <w:t>:</w:t>
      </w:r>
      <w:r w:rsidRPr="00204EED">
        <w:rPr>
          <w:lang w:val="it-IT"/>
        </w:rPr>
        <w:t xml:space="preserve"> </w:t>
      </w:r>
      <w:r>
        <w:rPr>
          <w:lang w:val="it-IT"/>
        </w:rPr>
        <w:t>Good</w:t>
      </w:r>
      <w:r>
        <w:rPr>
          <w:lang w:val="it-IT"/>
        </w:rPr>
        <w:t xml:space="preserve"> Count (kg)</w:t>
      </w:r>
      <w:r w:rsidRPr="00902190">
        <w:rPr>
          <w:lang w:val="it-IT"/>
        </w:rPr>
        <w:t>.</w:t>
      </w:r>
    </w:p>
    <w:p w14:paraId="3A6B2CB2" w14:textId="77777777" w:rsidR="00C37187" w:rsidRDefault="00C37187" w:rsidP="009C3591">
      <w:pPr>
        <w:rPr>
          <w:lang w:val="it-IT"/>
        </w:rPr>
      </w:pPr>
    </w:p>
    <w:p w14:paraId="1FED2BF5" w14:textId="77777777" w:rsidR="009C3591" w:rsidRPr="009C3591" w:rsidRDefault="009C3591" w:rsidP="009C3591"/>
    <w:p w14:paraId="68BC1D7C" w14:textId="77777777" w:rsidR="00A761AD" w:rsidRPr="00AB349A" w:rsidRDefault="00A761AD" w:rsidP="00AB349A">
      <w:pPr>
        <w:pStyle w:val="Heading1"/>
      </w:pPr>
      <w:r w:rsidRPr="00AB349A">
        <w:t>Referensi</w:t>
      </w:r>
    </w:p>
    <w:p w14:paraId="1A160857" w14:textId="77777777" w:rsidR="009962DA" w:rsidRDefault="009962DA" w:rsidP="009962DA">
      <w:pPr>
        <w:pStyle w:val="Reference"/>
        <w:numPr>
          <w:ilvl w:val="0"/>
          <w:numId w:val="0"/>
        </w:numPr>
      </w:pPr>
    </w:p>
    <w:p w14:paraId="1F7E6E53" w14:textId="2B8C7D8F" w:rsidR="00F91830" w:rsidRPr="00F91830" w:rsidRDefault="009962DA" w:rsidP="00F91830">
      <w:pPr>
        <w:widowControl w:val="0"/>
        <w:autoSpaceDE w:val="0"/>
        <w:autoSpaceDN w:val="0"/>
        <w:adjustRightInd w:val="0"/>
        <w:ind w:left="640" w:hanging="640"/>
        <w:jc w:val="both"/>
        <w:rPr>
          <w:noProof/>
          <w:sz w:val="22"/>
          <w:szCs w:val="24"/>
        </w:rPr>
      </w:pPr>
      <w:r>
        <w:fldChar w:fldCharType="begin" w:fldLock="1"/>
      </w:r>
      <w:r>
        <w:instrText xml:space="preserve">ADDIN Mendeley Bibliography CSL_BIBLIOGRAPHY </w:instrText>
      </w:r>
      <w:r>
        <w:fldChar w:fldCharType="separate"/>
      </w:r>
      <w:r w:rsidR="00F91830" w:rsidRPr="00F91830">
        <w:rPr>
          <w:noProof/>
          <w:sz w:val="22"/>
          <w:szCs w:val="24"/>
        </w:rPr>
        <w:t>[1]</w:t>
      </w:r>
      <w:r w:rsidR="00F91830" w:rsidRPr="00F91830">
        <w:rPr>
          <w:noProof/>
          <w:sz w:val="22"/>
          <w:szCs w:val="24"/>
        </w:rPr>
        <w:tab/>
        <w:t xml:space="preserve">A. K. Alghofari, M. Djunaidi, and A. Fauzan, “Perencanaan Pemeliharaan Mesin Ballmill Dengan Basis Rcm  (Reliability Centered Maintenance),” </w:t>
      </w:r>
      <w:r w:rsidR="00F91830" w:rsidRPr="00F91830">
        <w:rPr>
          <w:i/>
          <w:iCs/>
          <w:noProof/>
          <w:sz w:val="22"/>
          <w:szCs w:val="24"/>
        </w:rPr>
        <w:t>J. Ilm. Tek. Ind.</w:t>
      </w:r>
      <w:r w:rsidR="00F91830" w:rsidRPr="00F91830">
        <w:rPr>
          <w:noProof/>
          <w:sz w:val="22"/>
          <w:szCs w:val="24"/>
        </w:rPr>
        <w:t>, vol. 5, no. 2, pp. 45–52, 2006.</w:t>
      </w:r>
    </w:p>
    <w:p w14:paraId="505B198D" w14:textId="77777777" w:rsidR="00F91830" w:rsidRPr="00F91830" w:rsidRDefault="00F91830" w:rsidP="00F91830">
      <w:pPr>
        <w:widowControl w:val="0"/>
        <w:autoSpaceDE w:val="0"/>
        <w:autoSpaceDN w:val="0"/>
        <w:adjustRightInd w:val="0"/>
        <w:ind w:left="640" w:hanging="640"/>
        <w:jc w:val="both"/>
        <w:rPr>
          <w:noProof/>
          <w:sz w:val="22"/>
          <w:szCs w:val="24"/>
        </w:rPr>
      </w:pPr>
      <w:r w:rsidRPr="00F91830">
        <w:rPr>
          <w:noProof/>
          <w:sz w:val="22"/>
          <w:szCs w:val="24"/>
        </w:rPr>
        <w:t>[2]</w:t>
      </w:r>
      <w:r w:rsidRPr="00F91830">
        <w:rPr>
          <w:noProof/>
          <w:sz w:val="22"/>
          <w:szCs w:val="24"/>
        </w:rPr>
        <w:tab/>
        <w:t>R. Ananda, “Optimalisasi Preventive Maintenance Mesin Ball Mill Menggunakan Metode Modularity Design (Studi Kasus PT. Bumi Sarana Beton),” Universitas Hasanuddin, 2024.</w:t>
      </w:r>
    </w:p>
    <w:p w14:paraId="51F0274A" w14:textId="77777777" w:rsidR="00F91830" w:rsidRPr="00F91830" w:rsidRDefault="00F91830" w:rsidP="00F91830">
      <w:pPr>
        <w:widowControl w:val="0"/>
        <w:autoSpaceDE w:val="0"/>
        <w:autoSpaceDN w:val="0"/>
        <w:adjustRightInd w:val="0"/>
        <w:ind w:left="640" w:hanging="640"/>
        <w:jc w:val="both"/>
        <w:rPr>
          <w:noProof/>
          <w:sz w:val="22"/>
          <w:szCs w:val="24"/>
        </w:rPr>
      </w:pPr>
      <w:r w:rsidRPr="00F91830">
        <w:rPr>
          <w:noProof/>
          <w:sz w:val="22"/>
          <w:szCs w:val="24"/>
        </w:rPr>
        <w:t>[3]</w:t>
      </w:r>
      <w:r w:rsidRPr="00F91830">
        <w:rPr>
          <w:noProof/>
          <w:sz w:val="22"/>
          <w:szCs w:val="24"/>
        </w:rPr>
        <w:tab/>
        <w:t xml:space="preserve">W. Atikno and H. H. Purba, “OEE, Literature Review Tinjauan Literatur Secara Sistematik Tentang Overall Equipment Effectiveness (OEE) di Industri Manufaktur dan Jasa,” </w:t>
      </w:r>
      <w:r w:rsidRPr="00F91830">
        <w:rPr>
          <w:i/>
          <w:iCs/>
          <w:noProof/>
          <w:sz w:val="22"/>
          <w:szCs w:val="24"/>
        </w:rPr>
        <w:t>J. Ind. Eng. Syst.</w:t>
      </w:r>
      <w:r w:rsidRPr="00F91830">
        <w:rPr>
          <w:noProof/>
          <w:sz w:val="22"/>
          <w:szCs w:val="24"/>
        </w:rPr>
        <w:t>, vol. 2, no. 1, pp. 29–39, 2021, doi: 10.31599/jies.v2i1.401.</w:t>
      </w:r>
    </w:p>
    <w:p w14:paraId="05201F66" w14:textId="77777777" w:rsidR="00F91830" w:rsidRPr="00F91830" w:rsidRDefault="00F91830" w:rsidP="00F91830">
      <w:pPr>
        <w:widowControl w:val="0"/>
        <w:autoSpaceDE w:val="0"/>
        <w:autoSpaceDN w:val="0"/>
        <w:adjustRightInd w:val="0"/>
        <w:ind w:left="640" w:hanging="640"/>
        <w:jc w:val="both"/>
        <w:rPr>
          <w:noProof/>
          <w:sz w:val="22"/>
          <w:szCs w:val="24"/>
        </w:rPr>
      </w:pPr>
      <w:r w:rsidRPr="00F91830">
        <w:rPr>
          <w:noProof/>
          <w:sz w:val="22"/>
          <w:szCs w:val="24"/>
        </w:rPr>
        <w:t>[4]</w:t>
      </w:r>
      <w:r w:rsidRPr="00F91830">
        <w:rPr>
          <w:noProof/>
          <w:sz w:val="22"/>
          <w:szCs w:val="24"/>
        </w:rPr>
        <w:tab/>
        <w:t xml:space="preserve">B. H. Purnomo, N. Novijanto, and F. S. Maeline, “Peningkatan overall equipment effectiveness (OEE) mesin grinding pada produksi cokelat bubuk di PT ABC,” </w:t>
      </w:r>
      <w:r w:rsidRPr="00F91830">
        <w:rPr>
          <w:i/>
          <w:iCs/>
          <w:noProof/>
          <w:sz w:val="22"/>
          <w:szCs w:val="24"/>
        </w:rPr>
        <w:t>Agrointek  J. Teknol. Ind. Pertan.</w:t>
      </w:r>
      <w:r w:rsidRPr="00F91830">
        <w:rPr>
          <w:noProof/>
          <w:sz w:val="22"/>
          <w:szCs w:val="24"/>
        </w:rPr>
        <w:t>, vol. 17, no. 3, pp. 684–694, 2023, doi: 10.21107/agrointek.v17i3.15521.</w:t>
      </w:r>
    </w:p>
    <w:p w14:paraId="3C61338B" w14:textId="77777777" w:rsidR="00F91830" w:rsidRPr="00F91830" w:rsidRDefault="00F91830" w:rsidP="00F91830">
      <w:pPr>
        <w:widowControl w:val="0"/>
        <w:autoSpaceDE w:val="0"/>
        <w:autoSpaceDN w:val="0"/>
        <w:adjustRightInd w:val="0"/>
        <w:ind w:left="640" w:hanging="640"/>
        <w:jc w:val="both"/>
        <w:rPr>
          <w:noProof/>
          <w:sz w:val="22"/>
          <w:szCs w:val="24"/>
        </w:rPr>
      </w:pPr>
      <w:r w:rsidRPr="00F91830">
        <w:rPr>
          <w:noProof/>
          <w:sz w:val="22"/>
          <w:szCs w:val="24"/>
        </w:rPr>
        <w:t>[5]</w:t>
      </w:r>
      <w:r w:rsidRPr="00F91830">
        <w:rPr>
          <w:noProof/>
          <w:sz w:val="22"/>
          <w:szCs w:val="24"/>
        </w:rPr>
        <w:tab/>
        <w:t xml:space="preserve">Herwindo, A. Rahman, and R. Yuniarti, “PENGUKURAN OVERALL EQUIPMENT EFFECTIVENESS (OEE) SEBAGAI UPAYA MENINGKATKAN NILAI EFEKTIVITAS MESIN CARDING (Studi kasus: PT. XYZ) MEASUREMENT OVERALL EQUIPMENT EFFECTIVENESS (OEE) TO INCREASE VALUE OF CARDING EFFECTIVENESS (Case Study: PT. XYZ),” </w:t>
      </w:r>
      <w:r w:rsidRPr="00F91830">
        <w:rPr>
          <w:i/>
          <w:iCs/>
          <w:noProof/>
          <w:sz w:val="22"/>
          <w:szCs w:val="24"/>
        </w:rPr>
        <w:t>J. Rekayasa dan Manaj. Sist. Ind.</w:t>
      </w:r>
      <w:r w:rsidRPr="00F91830">
        <w:rPr>
          <w:noProof/>
          <w:sz w:val="22"/>
          <w:szCs w:val="24"/>
        </w:rPr>
        <w:t>, vol. 2, no. 5, pp. 919–928, 2014.</w:t>
      </w:r>
    </w:p>
    <w:p w14:paraId="78032AC4" w14:textId="77777777" w:rsidR="00F91830" w:rsidRPr="00F91830" w:rsidRDefault="00F91830" w:rsidP="00F91830">
      <w:pPr>
        <w:widowControl w:val="0"/>
        <w:autoSpaceDE w:val="0"/>
        <w:autoSpaceDN w:val="0"/>
        <w:adjustRightInd w:val="0"/>
        <w:ind w:left="640" w:hanging="640"/>
        <w:jc w:val="both"/>
        <w:rPr>
          <w:noProof/>
          <w:sz w:val="22"/>
          <w:szCs w:val="24"/>
        </w:rPr>
      </w:pPr>
      <w:r w:rsidRPr="00F91830">
        <w:rPr>
          <w:noProof/>
          <w:sz w:val="22"/>
          <w:szCs w:val="24"/>
        </w:rPr>
        <w:lastRenderedPageBreak/>
        <w:t>[6]</w:t>
      </w:r>
      <w:r w:rsidRPr="00F91830">
        <w:rPr>
          <w:noProof/>
          <w:sz w:val="22"/>
          <w:szCs w:val="24"/>
        </w:rPr>
        <w:tab/>
        <w:t xml:space="preserve">Hadi Ariyah, “Penerapan Metode Overall Equipment Effectiveness (OEE) Dalam Peningkatan Efisiensi Mesin Batching Plant (Studi Kasus : PT. Lutvindo Wijaya Perkasa),” </w:t>
      </w:r>
      <w:r w:rsidRPr="00F91830">
        <w:rPr>
          <w:i/>
          <w:iCs/>
          <w:noProof/>
          <w:sz w:val="22"/>
          <w:szCs w:val="24"/>
        </w:rPr>
        <w:t>J. Teknol. dan Manaj. Ind. Terap.</w:t>
      </w:r>
      <w:r w:rsidRPr="00F91830">
        <w:rPr>
          <w:noProof/>
          <w:sz w:val="22"/>
          <w:szCs w:val="24"/>
        </w:rPr>
        <w:t>, vol. 1, no. 2, pp. 70–77, 2022, doi: 10.55826/tmit.v1iii.10.</w:t>
      </w:r>
    </w:p>
    <w:p w14:paraId="2C8CA827" w14:textId="77777777" w:rsidR="00F91830" w:rsidRPr="00F91830" w:rsidRDefault="00F91830" w:rsidP="00F91830">
      <w:pPr>
        <w:widowControl w:val="0"/>
        <w:autoSpaceDE w:val="0"/>
        <w:autoSpaceDN w:val="0"/>
        <w:adjustRightInd w:val="0"/>
        <w:ind w:left="640" w:hanging="640"/>
        <w:jc w:val="both"/>
        <w:rPr>
          <w:noProof/>
          <w:sz w:val="22"/>
          <w:szCs w:val="24"/>
        </w:rPr>
      </w:pPr>
      <w:r w:rsidRPr="00F91830">
        <w:rPr>
          <w:noProof/>
          <w:sz w:val="22"/>
          <w:szCs w:val="24"/>
        </w:rPr>
        <w:t>[7]</w:t>
      </w:r>
      <w:r w:rsidRPr="00F91830">
        <w:rPr>
          <w:noProof/>
          <w:sz w:val="22"/>
          <w:szCs w:val="24"/>
        </w:rPr>
        <w:tab/>
        <w:t>A. Sahu and A. Kumar, “Calculation and Analysis of Overall Equipment Efficiency (OEE): A study on battery manufacturing industry,” 2023, [Online]. Available: https://www.diva-portal.org/smash/get/diva2:1797378/FULLTEXT01.pdf</w:t>
      </w:r>
    </w:p>
    <w:p w14:paraId="2B1B98E4" w14:textId="77777777" w:rsidR="00F91830" w:rsidRPr="00F91830" w:rsidRDefault="00F91830" w:rsidP="00F91830">
      <w:pPr>
        <w:widowControl w:val="0"/>
        <w:autoSpaceDE w:val="0"/>
        <w:autoSpaceDN w:val="0"/>
        <w:adjustRightInd w:val="0"/>
        <w:ind w:left="640" w:hanging="640"/>
        <w:jc w:val="both"/>
        <w:rPr>
          <w:noProof/>
          <w:sz w:val="22"/>
          <w:szCs w:val="24"/>
        </w:rPr>
      </w:pPr>
      <w:r w:rsidRPr="00F91830">
        <w:rPr>
          <w:noProof/>
          <w:sz w:val="22"/>
          <w:szCs w:val="24"/>
        </w:rPr>
        <w:t>[8]</w:t>
      </w:r>
      <w:r w:rsidRPr="00F91830">
        <w:rPr>
          <w:noProof/>
          <w:sz w:val="22"/>
          <w:szCs w:val="24"/>
        </w:rPr>
        <w:tab/>
        <w:t xml:space="preserve">K. Foit, G. Gołda, and A. Kampa, “Integration and evaluation of intra-logistics processes in flexible production systems based on oee metrics, with the use of computer modelling and simulation of agvs,” </w:t>
      </w:r>
      <w:r w:rsidRPr="00F91830">
        <w:rPr>
          <w:i/>
          <w:iCs/>
          <w:noProof/>
          <w:sz w:val="22"/>
          <w:szCs w:val="24"/>
        </w:rPr>
        <w:t>Processes</w:t>
      </w:r>
      <w:r w:rsidRPr="00F91830">
        <w:rPr>
          <w:noProof/>
          <w:sz w:val="22"/>
          <w:szCs w:val="24"/>
        </w:rPr>
        <w:t>, vol. 8, no. 12, pp. 1–15, 2020, doi: 10.3390/pr8121648.</w:t>
      </w:r>
    </w:p>
    <w:p w14:paraId="5CC5298F" w14:textId="77777777" w:rsidR="00F91830" w:rsidRPr="00F91830" w:rsidRDefault="00F91830" w:rsidP="00F91830">
      <w:pPr>
        <w:widowControl w:val="0"/>
        <w:autoSpaceDE w:val="0"/>
        <w:autoSpaceDN w:val="0"/>
        <w:adjustRightInd w:val="0"/>
        <w:ind w:left="640" w:hanging="640"/>
        <w:jc w:val="both"/>
        <w:rPr>
          <w:noProof/>
          <w:sz w:val="22"/>
          <w:szCs w:val="24"/>
        </w:rPr>
      </w:pPr>
      <w:r w:rsidRPr="00F91830">
        <w:rPr>
          <w:noProof/>
          <w:sz w:val="22"/>
          <w:szCs w:val="24"/>
        </w:rPr>
        <w:t>[9]</w:t>
      </w:r>
      <w:r w:rsidRPr="00F91830">
        <w:rPr>
          <w:noProof/>
          <w:sz w:val="22"/>
          <w:szCs w:val="24"/>
        </w:rPr>
        <w:tab/>
        <w:t xml:space="preserve">P. G. Yazdi, A. Azizi, and M. Hashemipour, “An empirical investigation of the relationship between overall equipment efficiency (OEE) and manufacturing sustainability in industry 4.0 with time study approach,” </w:t>
      </w:r>
      <w:r w:rsidRPr="00F91830">
        <w:rPr>
          <w:i/>
          <w:iCs/>
          <w:noProof/>
          <w:sz w:val="22"/>
          <w:szCs w:val="24"/>
        </w:rPr>
        <w:t>Sustain.</w:t>
      </w:r>
      <w:r w:rsidRPr="00F91830">
        <w:rPr>
          <w:noProof/>
          <w:sz w:val="22"/>
          <w:szCs w:val="24"/>
        </w:rPr>
        <w:t>, vol. 10, no. 9, 2018, doi: 10.3390/su10093031.</w:t>
      </w:r>
    </w:p>
    <w:p w14:paraId="12D83EC6" w14:textId="77777777" w:rsidR="00F91830" w:rsidRPr="00F91830" w:rsidRDefault="00F91830" w:rsidP="00F91830">
      <w:pPr>
        <w:widowControl w:val="0"/>
        <w:autoSpaceDE w:val="0"/>
        <w:autoSpaceDN w:val="0"/>
        <w:adjustRightInd w:val="0"/>
        <w:ind w:left="640" w:hanging="640"/>
        <w:jc w:val="both"/>
        <w:rPr>
          <w:noProof/>
          <w:sz w:val="22"/>
          <w:szCs w:val="24"/>
        </w:rPr>
      </w:pPr>
      <w:r w:rsidRPr="00F91830">
        <w:rPr>
          <w:noProof/>
          <w:sz w:val="22"/>
          <w:szCs w:val="24"/>
        </w:rPr>
        <w:t>[10]</w:t>
      </w:r>
      <w:r w:rsidRPr="00F91830">
        <w:rPr>
          <w:noProof/>
          <w:sz w:val="22"/>
          <w:szCs w:val="24"/>
        </w:rPr>
        <w:tab/>
        <w:t xml:space="preserve">Y. S. T. Siahaan and A. Arvianto, “Analisis Overall Equipment Effectiveness (OEE) pada Pulp Machine dan Six Big Losses di PT Toba Pulp Lestari, Tbk,” </w:t>
      </w:r>
      <w:r w:rsidRPr="00F91830">
        <w:rPr>
          <w:i/>
          <w:iCs/>
          <w:noProof/>
          <w:sz w:val="22"/>
          <w:szCs w:val="24"/>
        </w:rPr>
        <w:t>Ind. Eng. Online J.</w:t>
      </w:r>
      <w:r w:rsidRPr="00F91830">
        <w:rPr>
          <w:noProof/>
          <w:sz w:val="22"/>
          <w:szCs w:val="24"/>
        </w:rPr>
        <w:t>, vol. 7, no. 4, pp. 343–354, 2019, [Online]. Available: https://ejournal3.undip.ac.id/index.php/ieoj/article/view/23054</w:t>
      </w:r>
    </w:p>
    <w:p w14:paraId="0CECF405" w14:textId="77777777" w:rsidR="00F91830" w:rsidRPr="00F91830" w:rsidRDefault="00F91830" w:rsidP="00F91830">
      <w:pPr>
        <w:widowControl w:val="0"/>
        <w:autoSpaceDE w:val="0"/>
        <w:autoSpaceDN w:val="0"/>
        <w:adjustRightInd w:val="0"/>
        <w:ind w:left="640" w:hanging="640"/>
        <w:jc w:val="both"/>
        <w:rPr>
          <w:noProof/>
          <w:sz w:val="22"/>
          <w:szCs w:val="24"/>
        </w:rPr>
      </w:pPr>
      <w:r w:rsidRPr="00F91830">
        <w:rPr>
          <w:noProof/>
          <w:sz w:val="22"/>
          <w:szCs w:val="24"/>
        </w:rPr>
        <w:t>[11]</w:t>
      </w:r>
      <w:r w:rsidRPr="00F91830">
        <w:rPr>
          <w:noProof/>
          <w:sz w:val="22"/>
          <w:szCs w:val="24"/>
        </w:rPr>
        <w:tab/>
        <w:t xml:space="preserve">M. Irfan, “Analisis Overall Equipment Effectiveness untuk Meningkatkan Keefektifan pada Mesin Press,” </w:t>
      </w:r>
      <w:r w:rsidRPr="00F91830">
        <w:rPr>
          <w:i/>
          <w:iCs/>
          <w:noProof/>
          <w:sz w:val="22"/>
          <w:szCs w:val="24"/>
        </w:rPr>
        <w:t>J. Indones. Sos. Teknol.</w:t>
      </w:r>
      <w:r w:rsidRPr="00F91830">
        <w:rPr>
          <w:noProof/>
          <w:sz w:val="22"/>
          <w:szCs w:val="24"/>
        </w:rPr>
        <w:t>, vol. 2, no. 07, pp. 1173–1182, 2021, doi: 10.36418/jist.v2i7.194.</w:t>
      </w:r>
    </w:p>
    <w:p w14:paraId="795A1F3B" w14:textId="77777777" w:rsidR="00F91830" w:rsidRPr="00F91830" w:rsidRDefault="00F91830" w:rsidP="00F91830">
      <w:pPr>
        <w:widowControl w:val="0"/>
        <w:autoSpaceDE w:val="0"/>
        <w:autoSpaceDN w:val="0"/>
        <w:adjustRightInd w:val="0"/>
        <w:ind w:left="640" w:hanging="640"/>
        <w:jc w:val="both"/>
        <w:rPr>
          <w:noProof/>
          <w:sz w:val="22"/>
        </w:rPr>
      </w:pPr>
      <w:r w:rsidRPr="00F91830">
        <w:rPr>
          <w:noProof/>
          <w:sz w:val="22"/>
          <w:szCs w:val="24"/>
        </w:rPr>
        <w:t>[12]</w:t>
      </w:r>
      <w:r w:rsidRPr="00F91830">
        <w:rPr>
          <w:noProof/>
          <w:sz w:val="22"/>
          <w:szCs w:val="24"/>
        </w:rPr>
        <w:tab/>
        <w:t xml:space="preserve">F. A. Tonny, A. Maliha, M. I. Chayan, and M. D. Xames, “Optimization of overall equipment effectiveness (OEE) factors: Case study of a vegetable oil manufacturing company,” </w:t>
      </w:r>
      <w:r w:rsidRPr="00F91830">
        <w:rPr>
          <w:i/>
          <w:iCs/>
          <w:noProof/>
          <w:sz w:val="22"/>
          <w:szCs w:val="24"/>
        </w:rPr>
        <w:t>Manag. Sci. Lett.</w:t>
      </w:r>
      <w:r w:rsidRPr="00F91830">
        <w:rPr>
          <w:noProof/>
          <w:sz w:val="22"/>
          <w:szCs w:val="24"/>
        </w:rPr>
        <w:t>, vol. 13, no. 2, pp. 124–135, 2023, doi: 10.5267/j.msl.2022.12.002.</w:t>
      </w:r>
    </w:p>
    <w:p w14:paraId="00E1D7CF" w14:textId="50F318F4" w:rsidR="009962DA" w:rsidRDefault="009962DA" w:rsidP="00F91830">
      <w:pPr>
        <w:pStyle w:val="Reference"/>
        <w:numPr>
          <w:ilvl w:val="0"/>
          <w:numId w:val="0"/>
        </w:numPr>
      </w:pPr>
      <w:r>
        <w:fldChar w:fldCharType="end"/>
      </w:r>
    </w:p>
    <w:p w14:paraId="2D36AED1" w14:textId="77777777" w:rsidR="004F372A" w:rsidRPr="007329B4" w:rsidRDefault="004F372A" w:rsidP="001A517B"/>
    <w:sectPr w:rsidR="004F372A" w:rsidRPr="007329B4" w:rsidSect="00183813">
      <w:headerReference w:type="even" r:id="rId21"/>
      <w:headerReference w:type="default" r:id="rId22"/>
      <w:footerReference w:type="even" r:id="rId23"/>
      <w:footerReference w:type="default" r:id="rId24"/>
      <w:pgSz w:w="11907" w:h="16839" w:code="9"/>
      <w:pgMar w:top="1418" w:right="1418" w:bottom="1418" w:left="1418" w:header="73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BB602" w14:textId="77777777" w:rsidR="00945A95" w:rsidRDefault="00945A95" w:rsidP="007329B4">
      <w:r>
        <w:separator/>
      </w:r>
    </w:p>
  </w:endnote>
  <w:endnote w:type="continuationSeparator" w:id="0">
    <w:p w14:paraId="1AA72FBD" w14:textId="77777777" w:rsidR="00945A95" w:rsidRDefault="00945A95" w:rsidP="0073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796"/>
      <w:gridCol w:w="8052"/>
    </w:tblGrid>
    <w:tr w:rsidR="0062310B" w:rsidRPr="00A001FC" w14:paraId="2EA72D72" w14:textId="77777777" w:rsidTr="003517BF">
      <w:tc>
        <w:tcPr>
          <w:tcW w:w="450" w:type="pct"/>
          <w:tcBorders>
            <w:top w:val="single" w:sz="4" w:space="0" w:color="943634"/>
          </w:tcBorders>
          <w:shd w:val="clear" w:color="auto" w:fill="943634"/>
        </w:tcPr>
        <w:p w14:paraId="544CA7DD" w14:textId="002FAEDB" w:rsidR="0062310B" w:rsidRPr="007F0E78" w:rsidRDefault="001121EC" w:rsidP="003517BF">
          <w:pPr>
            <w:rPr>
              <w:b/>
              <w:color w:val="FFFFFF"/>
              <w:sz w:val="16"/>
              <w:szCs w:val="16"/>
            </w:rPr>
          </w:pPr>
          <w:r w:rsidRPr="007F0E78">
            <w:rPr>
              <w:color w:val="FFFFFF"/>
              <w:sz w:val="16"/>
            </w:rPr>
            <w:t xml:space="preserve"> </w:t>
          </w:r>
          <w:r w:rsidR="00684554" w:rsidRPr="007F0E78">
            <w:rPr>
              <w:sz w:val="16"/>
              <w:szCs w:val="16"/>
            </w:rPr>
            <w:fldChar w:fldCharType="begin"/>
          </w:r>
          <w:r w:rsidR="0062310B" w:rsidRPr="007F0E78">
            <w:rPr>
              <w:sz w:val="16"/>
              <w:szCs w:val="16"/>
            </w:rPr>
            <w:instrText xml:space="preserve"> PAGE   \* MERGEFORMAT </w:instrText>
          </w:r>
          <w:r w:rsidR="00684554" w:rsidRPr="007F0E78">
            <w:rPr>
              <w:sz w:val="16"/>
              <w:szCs w:val="16"/>
            </w:rPr>
            <w:fldChar w:fldCharType="separate"/>
          </w:r>
          <w:r w:rsidR="00D532DB" w:rsidRPr="00D532DB">
            <w:rPr>
              <w:noProof/>
              <w:color w:val="FFFFFF"/>
              <w:sz w:val="16"/>
              <w:szCs w:val="16"/>
            </w:rPr>
            <w:t>4</w:t>
          </w:r>
          <w:r w:rsidR="00684554" w:rsidRPr="007F0E78">
            <w:rPr>
              <w:sz w:val="16"/>
              <w:szCs w:val="16"/>
            </w:rPr>
            <w:fldChar w:fldCharType="end"/>
          </w:r>
        </w:p>
      </w:tc>
      <w:tc>
        <w:tcPr>
          <w:tcW w:w="4550" w:type="pct"/>
          <w:tcBorders>
            <w:top w:val="single" w:sz="4" w:space="0" w:color="auto"/>
          </w:tcBorders>
        </w:tcPr>
        <w:p w14:paraId="1BD0A719" w14:textId="77777777" w:rsidR="0062310B" w:rsidRPr="007F0E78" w:rsidRDefault="0062310B" w:rsidP="003517BF">
          <w:pPr>
            <w:rPr>
              <w:b/>
              <w:sz w:val="16"/>
              <w:szCs w:val="16"/>
            </w:rPr>
          </w:pPr>
        </w:p>
      </w:tc>
    </w:tr>
  </w:tbl>
  <w:p w14:paraId="5E872D34" w14:textId="77777777" w:rsidR="0062310B" w:rsidRDefault="006231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8052"/>
      <w:gridCol w:w="796"/>
    </w:tblGrid>
    <w:tr w:rsidR="0062310B" w:rsidRPr="009F15EB" w14:paraId="22A8D590" w14:textId="77777777" w:rsidTr="003517BF">
      <w:tc>
        <w:tcPr>
          <w:tcW w:w="4550" w:type="pct"/>
          <w:tcBorders>
            <w:top w:val="single" w:sz="4" w:space="0" w:color="000000"/>
          </w:tcBorders>
        </w:tcPr>
        <w:p w14:paraId="1A97F262" w14:textId="77777777" w:rsidR="0062310B" w:rsidRPr="00E435C5" w:rsidRDefault="0062310B" w:rsidP="00E435C5">
          <w:pPr>
            <w:jc w:val="right"/>
            <w:rPr>
              <w:b/>
              <w:sz w:val="16"/>
              <w:lang w:val="id-ID"/>
            </w:rPr>
          </w:pPr>
        </w:p>
      </w:tc>
      <w:tc>
        <w:tcPr>
          <w:tcW w:w="450" w:type="pct"/>
          <w:tcBorders>
            <w:top w:val="single" w:sz="4" w:space="0" w:color="C0504D"/>
          </w:tcBorders>
          <w:shd w:val="clear" w:color="auto" w:fill="943634"/>
        </w:tcPr>
        <w:p w14:paraId="523A53AC" w14:textId="226B67EE" w:rsidR="0062310B" w:rsidRPr="007F0E78" w:rsidRDefault="001121EC" w:rsidP="001121EC">
          <w:pPr>
            <w:jc w:val="right"/>
            <w:rPr>
              <w:color w:val="FFFFFF"/>
              <w:sz w:val="16"/>
            </w:rPr>
          </w:pPr>
          <w:r w:rsidRPr="007F0E78">
            <w:rPr>
              <w:color w:val="FFFFFF"/>
              <w:sz w:val="16"/>
            </w:rPr>
            <w:t xml:space="preserve"> </w:t>
          </w:r>
          <w:r w:rsidR="00684554" w:rsidRPr="007F0E78">
            <w:rPr>
              <w:sz w:val="16"/>
            </w:rPr>
            <w:fldChar w:fldCharType="begin"/>
          </w:r>
          <w:r w:rsidR="0062310B" w:rsidRPr="007F0E78">
            <w:rPr>
              <w:sz w:val="16"/>
            </w:rPr>
            <w:instrText xml:space="preserve"> PAGE   \* MERGEFORMAT </w:instrText>
          </w:r>
          <w:r w:rsidR="00684554" w:rsidRPr="007F0E78">
            <w:rPr>
              <w:sz w:val="16"/>
            </w:rPr>
            <w:fldChar w:fldCharType="separate"/>
          </w:r>
          <w:r w:rsidR="00D532DB" w:rsidRPr="00D532DB">
            <w:rPr>
              <w:noProof/>
              <w:color w:val="FFFFFF"/>
              <w:sz w:val="16"/>
            </w:rPr>
            <w:t>3</w:t>
          </w:r>
          <w:r w:rsidR="00684554" w:rsidRPr="007F0E78">
            <w:rPr>
              <w:sz w:val="16"/>
            </w:rPr>
            <w:fldChar w:fldCharType="end"/>
          </w:r>
        </w:p>
      </w:tc>
    </w:tr>
  </w:tbl>
  <w:p w14:paraId="4215B441" w14:textId="77777777" w:rsidR="00B83E83" w:rsidRPr="006E2DE7" w:rsidRDefault="00B83E83" w:rsidP="0051077B">
    <w:pP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088C9" w14:textId="77777777" w:rsidR="00945A95" w:rsidRDefault="00945A95" w:rsidP="007329B4">
      <w:r>
        <w:separator/>
      </w:r>
    </w:p>
  </w:footnote>
  <w:footnote w:type="continuationSeparator" w:id="0">
    <w:p w14:paraId="42DCFA76" w14:textId="77777777" w:rsidR="00945A95" w:rsidRDefault="00945A95" w:rsidP="00732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ook w:val="04A0" w:firstRow="1" w:lastRow="0" w:firstColumn="1" w:lastColumn="0" w:noHBand="0" w:noVBand="1"/>
    </w:tblPr>
    <w:tblGrid>
      <w:gridCol w:w="8963"/>
    </w:tblGrid>
    <w:tr w:rsidR="0062310B" w:rsidRPr="007329B4" w14:paraId="6170C0F5" w14:textId="77777777" w:rsidTr="003517BF">
      <w:tc>
        <w:tcPr>
          <w:tcW w:w="9072" w:type="dxa"/>
          <w:shd w:val="clear" w:color="auto" w:fill="auto"/>
        </w:tcPr>
        <w:p w14:paraId="3E02DDE7" w14:textId="54F026DA" w:rsidR="0062310B" w:rsidRPr="000C668C" w:rsidRDefault="0062310B" w:rsidP="003517BF">
          <w:pPr>
            <w:spacing w:line="276" w:lineRule="auto"/>
            <w:rPr>
              <w:sz w:val="16"/>
              <w:szCs w:val="16"/>
            </w:rPr>
          </w:pPr>
          <w:r>
            <w:rPr>
              <w:b/>
              <w:sz w:val="16"/>
              <w:szCs w:val="16"/>
              <w:lang w:val="id-ID"/>
            </w:rPr>
            <w:t xml:space="preserve">Seminar </w:t>
          </w:r>
          <w:r w:rsidR="00B4265D">
            <w:rPr>
              <w:b/>
              <w:sz w:val="16"/>
              <w:szCs w:val="16"/>
            </w:rPr>
            <w:t>Keinsinyuran</w:t>
          </w:r>
          <w:r w:rsidR="00D532DB">
            <w:rPr>
              <w:b/>
              <w:sz w:val="16"/>
              <w:szCs w:val="16"/>
            </w:rPr>
            <w:t xml:space="preserve"> 2024</w:t>
          </w:r>
        </w:p>
        <w:p w14:paraId="0F07BB71" w14:textId="77777777" w:rsidR="00D90F6F" w:rsidRPr="00D90F6F" w:rsidRDefault="00D90F6F" w:rsidP="00D90F6F">
          <w:pPr>
            <w:tabs>
              <w:tab w:val="left" w:pos="1077"/>
            </w:tabs>
            <w:spacing w:line="276" w:lineRule="auto"/>
            <w:rPr>
              <w:sz w:val="16"/>
              <w:szCs w:val="16"/>
            </w:rPr>
          </w:pPr>
          <w:r>
            <w:rPr>
              <w:sz w:val="16"/>
              <w:szCs w:val="16"/>
            </w:rPr>
            <w:t xml:space="preserve">ISSN (Cetak) </w:t>
          </w:r>
          <w:r w:rsidR="000D58D9" w:rsidRPr="0088787B">
            <w:rPr>
              <w:color w:val="212529"/>
              <w:sz w:val="16"/>
              <w:szCs w:val="16"/>
            </w:rPr>
            <w:t>2798-0405</w:t>
          </w:r>
        </w:p>
        <w:p w14:paraId="36AE8D55" w14:textId="77777777" w:rsidR="0062310B" w:rsidRPr="007329B4" w:rsidRDefault="00D90F6F" w:rsidP="00B4265D">
          <w:pPr>
            <w:tabs>
              <w:tab w:val="left" w:pos="1077"/>
            </w:tabs>
            <w:spacing w:line="276" w:lineRule="auto"/>
            <w:rPr>
              <w:sz w:val="16"/>
              <w:szCs w:val="16"/>
            </w:rPr>
          </w:pPr>
          <w:r>
            <w:rPr>
              <w:sz w:val="16"/>
              <w:szCs w:val="16"/>
            </w:rPr>
            <w:t xml:space="preserve">eISSN (Online) </w:t>
          </w:r>
          <w:r w:rsidR="000D58D9" w:rsidRPr="0088787B">
            <w:rPr>
              <w:color w:val="212529"/>
              <w:sz w:val="16"/>
              <w:szCs w:val="16"/>
            </w:rPr>
            <w:t>2797-1775</w:t>
          </w:r>
        </w:p>
      </w:tc>
    </w:tr>
  </w:tbl>
  <w:p w14:paraId="3DA750FE" w14:textId="77777777" w:rsidR="0062310B" w:rsidRPr="0025484F" w:rsidRDefault="0062310B" w:rsidP="0062310B">
    <w:pP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ook w:val="04A0" w:firstRow="1" w:lastRow="0" w:firstColumn="1" w:lastColumn="0" w:noHBand="0" w:noVBand="1"/>
    </w:tblPr>
    <w:tblGrid>
      <w:gridCol w:w="8963"/>
    </w:tblGrid>
    <w:tr w:rsidR="0062310B" w:rsidRPr="007329B4" w14:paraId="2C3CF2CA" w14:textId="77777777" w:rsidTr="003517BF">
      <w:tc>
        <w:tcPr>
          <w:tcW w:w="9072" w:type="dxa"/>
          <w:shd w:val="clear" w:color="auto" w:fill="auto"/>
        </w:tcPr>
        <w:p w14:paraId="2A975240" w14:textId="3C0F4A9F" w:rsidR="0062310B" w:rsidRPr="000D0133" w:rsidRDefault="0062310B" w:rsidP="00D532DB">
          <w:pPr>
            <w:spacing w:line="276" w:lineRule="auto"/>
            <w:jc w:val="right"/>
            <w:rPr>
              <w:sz w:val="16"/>
              <w:szCs w:val="16"/>
            </w:rPr>
          </w:pPr>
          <w:r>
            <w:rPr>
              <w:b/>
              <w:sz w:val="16"/>
              <w:szCs w:val="16"/>
              <w:lang w:val="id-ID"/>
            </w:rPr>
            <w:t xml:space="preserve">Seminar </w:t>
          </w:r>
          <w:r w:rsidR="00B4265D">
            <w:rPr>
              <w:b/>
              <w:sz w:val="16"/>
              <w:szCs w:val="16"/>
            </w:rPr>
            <w:t xml:space="preserve">Keinsinyuran </w:t>
          </w:r>
          <w:r w:rsidR="000D0133">
            <w:rPr>
              <w:b/>
              <w:sz w:val="16"/>
              <w:szCs w:val="16"/>
              <w:lang w:val="id-ID"/>
            </w:rPr>
            <w:t>202</w:t>
          </w:r>
          <w:r w:rsidR="00D532DB">
            <w:rPr>
              <w:b/>
              <w:sz w:val="16"/>
              <w:szCs w:val="16"/>
            </w:rPr>
            <w:t>4</w:t>
          </w:r>
        </w:p>
        <w:p w14:paraId="0A3B303A" w14:textId="77777777" w:rsidR="00971C7A" w:rsidRPr="00D90F6F" w:rsidRDefault="00971C7A" w:rsidP="00971C7A">
          <w:pPr>
            <w:tabs>
              <w:tab w:val="left" w:pos="1077"/>
            </w:tabs>
            <w:spacing w:line="276" w:lineRule="auto"/>
            <w:jc w:val="right"/>
            <w:rPr>
              <w:sz w:val="16"/>
              <w:szCs w:val="16"/>
            </w:rPr>
          </w:pPr>
          <w:r>
            <w:rPr>
              <w:sz w:val="16"/>
              <w:szCs w:val="16"/>
            </w:rPr>
            <w:t xml:space="preserve">ISSN (Cetak) </w:t>
          </w:r>
          <w:r w:rsidR="0088787B" w:rsidRPr="0088787B">
            <w:rPr>
              <w:color w:val="212529"/>
              <w:sz w:val="16"/>
              <w:szCs w:val="16"/>
            </w:rPr>
            <w:t>2798-0405</w:t>
          </w:r>
        </w:p>
        <w:p w14:paraId="1BB5E5C8" w14:textId="77777777" w:rsidR="00D90F6F" w:rsidRPr="007329B4" w:rsidRDefault="00971C7A" w:rsidP="00B4265D">
          <w:pPr>
            <w:spacing w:line="276" w:lineRule="auto"/>
            <w:jc w:val="right"/>
            <w:rPr>
              <w:sz w:val="16"/>
              <w:szCs w:val="16"/>
            </w:rPr>
          </w:pPr>
          <w:r>
            <w:rPr>
              <w:sz w:val="16"/>
              <w:szCs w:val="16"/>
            </w:rPr>
            <w:t xml:space="preserve">eISSN (Online) </w:t>
          </w:r>
          <w:r w:rsidR="0088787B" w:rsidRPr="0088787B">
            <w:rPr>
              <w:color w:val="212529"/>
              <w:sz w:val="16"/>
              <w:szCs w:val="16"/>
            </w:rPr>
            <w:t>2797-1775</w:t>
          </w:r>
        </w:p>
      </w:tc>
    </w:tr>
  </w:tbl>
  <w:p w14:paraId="393AEDA6" w14:textId="77777777" w:rsidR="00B83E83" w:rsidRPr="0025484F" w:rsidRDefault="00B83E83" w:rsidP="0062310B">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2019"/>
    <w:multiLevelType w:val="hybridMultilevel"/>
    <w:tmpl w:val="12B88870"/>
    <w:lvl w:ilvl="0" w:tplc="58BEE23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 w15:restartNumberingAfterBreak="0">
    <w:nsid w:val="1E124D8A"/>
    <w:multiLevelType w:val="hybridMultilevel"/>
    <w:tmpl w:val="8F0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E03E4750"/>
    <w:lvl w:ilvl="0" w:tplc="5DAE70D2">
      <w:start w:val="1"/>
      <w:numFmt w:val="decimal"/>
      <w:pStyle w:val="Reference"/>
      <w:lvlText w:val="[%1]"/>
      <w:lvlJc w:val="center"/>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15:restartNumberingAfterBreak="0">
    <w:nsid w:val="47166651"/>
    <w:multiLevelType w:val="hybridMultilevel"/>
    <w:tmpl w:val="9028D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CA544A"/>
    <w:multiLevelType w:val="singleLevel"/>
    <w:tmpl w:val="0F4C1592"/>
    <w:lvl w:ilvl="0">
      <w:start w:val="1"/>
      <w:numFmt w:val="decimal"/>
      <w:lvlText w:val="[%1]"/>
      <w:lvlJc w:val="left"/>
      <w:pPr>
        <w:tabs>
          <w:tab w:val="num" w:pos="360"/>
        </w:tabs>
        <w:ind w:left="360" w:hanging="360"/>
      </w:pPr>
      <w:rPr>
        <w:rFonts w:ascii="Times New Roman" w:hAnsi="Times New Roman" w:hint="default"/>
        <w:b w:val="0"/>
        <w:i w:val="0"/>
        <w:sz w:val="16"/>
      </w:rPr>
    </w:lvl>
  </w:abstractNum>
  <w:abstractNum w:abstractNumId="7" w15:restartNumberingAfterBreak="0">
    <w:nsid w:val="5CED335E"/>
    <w:multiLevelType w:val="hybridMultilevel"/>
    <w:tmpl w:val="0BAE8DFC"/>
    <w:lvl w:ilvl="0" w:tplc="756C379C">
      <w:start w:val="1"/>
      <w:numFmt w:val="decimal"/>
      <w:lvlText w:val="[%1] "/>
      <w:lvlJc w:val="left"/>
      <w:pPr>
        <w:tabs>
          <w:tab w:val="num" w:pos="360"/>
        </w:tabs>
        <w:ind w:left="36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71021B99"/>
    <w:multiLevelType w:val="hybridMultilevel"/>
    <w:tmpl w:val="49524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0" w15:restartNumberingAfterBreak="0">
    <w:nsid w:val="751461C2"/>
    <w:multiLevelType w:val="hybridMultilevel"/>
    <w:tmpl w:val="C99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1955923">
    <w:abstractNumId w:val="1"/>
  </w:num>
  <w:num w:numId="2" w16cid:durableId="999121251">
    <w:abstractNumId w:val="0"/>
  </w:num>
  <w:num w:numId="3" w16cid:durableId="1976519760">
    <w:abstractNumId w:val="4"/>
  </w:num>
  <w:num w:numId="4" w16cid:durableId="1368024486">
    <w:abstractNumId w:val="10"/>
  </w:num>
  <w:num w:numId="5" w16cid:durableId="1056273436">
    <w:abstractNumId w:val="6"/>
  </w:num>
  <w:num w:numId="6" w16cid:durableId="663977101">
    <w:abstractNumId w:val="7"/>
  </w:num>
  <w:num w:numId="7" w16cid:durableId="189417410">
    <w:abstractNumId w:val="8"/>
  </w:num>
  <w:num w:numId="8" w16cid:durableId="1079981187">
    <w:abstractNumId w:val="5"/>
  </w:num>
  <w:num w:numId="9" w16cid:durableId="2027175771">
    <w:abstractNumId w:val="6"/>
  </w:num>
  <w:num w:numId="10" w16cid:durableId="24447975">
    <w:abstractNumId w:val="2"/>
  </w:num>
  <w:num w:numId="11" w16cid:durableId="1730494695">
    <w:abstractNumId w:val="9"/>
  </w:num>
  <w:num w:numId="12" w16cid:durableId="14979619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B3B"/>
    <w:rsid w:val="00000156"/>
    <w:rsid w:val="00001008"/>
    <w:rsid w:val="00001769"/>
    <w:rsid w:val="00012F95"/>
    <w:rsid w:val="00014306"/>
    <w:rsid w:val="00014F62"/>
    <w:rsid w:val="000236BB"/>
    <w:rsid w:val="00023D82"/>
    <w:rsid w:val="000241C7"/>
    <w:rsid w:val="00040146"/>
    <w:rsid w:val="00045903"/>
    <w:rsid w:val="000531DE"/>
    <w:rsid w:val="00060752"/>
    <w:rsid w:val="000609E0"/>
    <w:rsid w:val="00064BAC"/>
    <w:rsid w:val="0006529A"/>
    <w:rsid w:val="000709B6"/>
    <w:rsid w:val="000758CF"/>
    <w:rsid w:val="00075A30"/>
    <w:rsid w:val="000855F6"/>
    <w:rsid w:val="000A274D"/>
    <w:rsid w:val="000A75B9"/>
    <w:rsid w:val="000C4F48"/>
    <w:rsid w:val="000D0133"/>
    <w:rsid w:val="000D58D9"/>
    <w:rsid w:val="000E38E6"/>
    <w:rsid w:val="000E5141"/>
    <w:rsid w:val="000F0322"/>
    <w:rsid w:val="000F235D"/>
    <w:rsid w:val="000F437A"/>
    <w:rsid w:val="000F4912"/>
    <w:rsid w:val="001121EC"/>
    <w:rsid w:val="001137D4"/>
    <w:rsid w:val="0012269A"/>
    <w:rsid w:val="0013425F"/>
    <w:rsid w:val="001344CF"/>
    <w:rsid w:val="0013483A"/>
    <w:rsid w:val="00134E5C"/>
    <w:rsid w:val="001363D7"/>
    <w:rsid w:val="00136976"/>
    <w:rsid w:val="00140EC3"/>
    <w:rsid w:val="0014264B"/>
    <w:rsid w:val="001442E1"/>
    <w:rsid w:val="00150633"/>
    <w:rsid w:val="00166EA1"/>
    <w:rsid w:val="001744EB"/>
    <w:rsid w:val="00183813"/>
    <w:rsid w:val="001938B1"/>
    <w:rsid w:val="001A517B"/>
    <w:rsid w:val="001A5C6D"/>
    <w:rsid w:val="001B1B39"/>
    <w:rsid w:val="001B3A24"/>
    <w:rsid w:val="001B7ECF"/>
    <w:rsid w:val="001C011B"/>
    <w:rsid w:val="001C1550"/>
    <w:rsid w:val="001E7318"/>
    <w:rsid w:val="002007B9"/>
    <w:rsid w:val="00204EED"/>
    <w:rsid w:val="002056E7"/>
    <w:rsid w:val="0021171D"/>
    <w:rsid w:val="00222267"/>
    <w:rsid w:val="00225CAD"/>
    <w:rsid w:val="00241AE8"/>
    <w:rsid w:val="00246C1B"/>
    <w:rsid w:val="00253500"/>
    <w:rsid w:val="0025484F"/>
    <w:rsid w:val="0026290A"/>
    <w:rsid w:val="00264202"/>
    <w:rsid w:val="002678F8"/>
    <w:rsid w:val="002821E2"/>
    <w:rsid w:val="00282552"/>
    <w:rsid w:val="00293D90"/>
    <w:rsid w:val="00294251"/>
    <w:rsid w:val="002A7E9F"/>
    <w:rsid w:val="002C311D"/>
    <w:rsid w:val="002D67FA"/>
    <w:rsid w:val="002E5EEE"/>
    <w:rsid w:val="00301C0D"/>
    <w:rsid w:val="003172D2"/>
    <w:rsid w:val="00327337"/>
    <w:rsid w:val="00344EEC"/>
    <w:rsid w:val="003517BF"/>
    <w:rsid w:val="00352436"/>
    <w:rsid w:val="003578C5"/>
    <w:rsid w:val="003612C8"/>
    <w:rsid w:val="003732A6"/>
    <w:rsid w:val="00374E7A"/>
    <w:rsid w:val="00382F83"/>
    <w:rsid w:val="00390117"/>
    <w:rsid w:val="00394AA8"/>
    <w:rsid w:val="003958D3"/>
    <w:rsid w:val="00395CBC"/>
    <w:rsid w:val="003A1513"/>
    <w:rsid w:val="003A2BE4"/>
    <w:rsid w:val="003A6EF9"/>
    <w:rsid w:val="003C2134"/>
    <w:rsid w:val="003C263A"/>
    <w:rsid w:val="003C5F86"/>
    <w:rsid w:val="003C7560"/>
    <w:rsid w:val="003D2EC6"/>
    <w:rsid w:val="003E1253"/>
    <w:rsid w:val="003F26B6"/>
    <w:rsid w:val="00407BF6"/>
    <w:rsid w:val="00412DCF"/>
    <w:rsid w:val="00431ED1"/>
    <w:rsid w:val="00436B53"/>
    <w:rsid w:val="00437C43"/>
    <w:rsid w:val="0046425C"/>
    <w:rsid w:val="00465E5A"/>
    <w:rsid w:val="00471424"/>
    <w:rsid w:val="004739E0"/>
    <w:rsid w:val="00474BC0"/>
    <w:rsid w:val="0048012B"/>
    <w:rsid w:val="00492EF2"/>
    <w:rsid w:val="004A30A5"/>
    <w:rsid w:val="004B01EA"/>
    <w:rsid w:val="004B16EF"/>
    <w:rsid w:val="004B3E86"/>
    <w:rsid w:val="004B6193"/>
    <w:rsid w:val="004C3760"/>
    <w:rsid w:val="004C500A"/>
    <w:rsid w:val="004C6060"/>
    <w:rsid w:val="004C7153"/>
    <w:rsid w:val="004D5BB1"/>
    <w:rsid w:val="004D6097"/>
    <w:rsid w:val="004E32D2"/>
    <w:rsid w:val="004F372A"/>
    <w:rsid w:val="004F55C2"/>
    <w:rsid w:val="005003D6"/>
    <w:rsid w:val="00503BCA"/>
    <w:rsid w:val="00505B2D"/>
    <w:rsid w:val="0051077B"/>
    <w:rsid w:val="00533C4E"/>
    <w:rsid w:val="005369E9"/>
    <w:rsid w:val="00537BCB"/>
    <w:rsid w:val="00537D1A"/>
    <w:rsid w:val="00540C84"/>
    <w:rsid w:val="005548E4"/>
    <w:rsid w:val="00555301"/>
    <w:rsid w:val="00566345"/>
    <w:rsid w:val="005846B0"/>
    <w:rsid w:val="005856EB"/>
    <w:rsid w:val="00586F82"/>
    <w:rsid w:val="00594DF4"/>
    <w:rsid w:val="005A0E39"/>
    <w:rsid w:val="005A6509"/>
    <w:rsid w:val="005B0451"/>
    <w:rsid w:val="005C3DEE"/>
    <w:rsid w:val="005D1D6D"/>
    <w:rsid w:val="005D2810"/>
    <w:rsid w:val="005F7EBF"/>
    <w:rsid w:val="006067A2"/>
    <w:rsid w:val="006143C2"/>
    <w:rsid w:val="00615C31"/>
    <w:rsid w:val="00621825"/>
    <w:rsid w:val="0062216A"/>
    <w:rsid w:val="0062310B"/>
    <w:rsid w:val="00637DF6"/>
    <w:rsid w:val="0065454E"/>
    <w:rsid w:val="00656D90"/>
    <w:rsid w:val="00660E50"/>
    <w:rsid w:val="00670B05"/>
    <w:rsid w:val="00684554"/>
    <w:rsid w:val="006956BA"/>
    <w:rsid w:val="006964BA"/>
    <w:rsid w:val="006A6084"/>
    <w:rsid w:val="006A73BF"/>
    <w:rsid w:val="006B2EC0"/>
    <w:rsid w:val="006B3BF5"/>
    <w:rsid w:val="006C13CE"/>
    <w:rsid w:val="006D3752"/>
    <w:rsid w:val="006D4096"/>
    <w:rsid w:val="006E1CA6"/>
    <w:rsid w:val="006E2213"/>
    <w:rsid w:val="006E2DE7"/>
    <w:rsid w:val="006E5E1E"/>
    <w:rsid w:val="006F0CE4"/>
    <w:rsid w:val="006F0E9E"/>
    <w:rsid w:val="006F19AA"/>
    <w:rsid w:val="006F2E5F"/>
    <w:rsid w:val="007071BE"/>
    <w:rsid w:val="00721454"/>
    <w:rsid w:val="00722E1E"/>
    <w:rsid w:val="00726D7A"/>
    <w:rsid w:val="00730A2A"/>
    <w:rsid w:val="00730CB6"/>
    <w:rsid w:val="00731EEE"/>
    <w:rsid w:val="007329B4"/>
    <w:rsid w:val="00746C9D"/>
    <w:rsid w:val="00747394"/>
    <w:rsid w:val="0074744B"/>
    <w:rsid w:val="00777308"/>
    <w:rsid w:val="00777FB3"/>
    <w:rsid w:val="007965AF"/>
    <w:rsid w:val="007A02AB"/>
    <w:rsid w:val="007A28E0"/>
    <w:rsid w:val="007A5450"/>
    <w:rsid w:val="007A77A4"/>
    <w:rsid w:val="007B4E1D"/>
    <w:rsid w:val="007C3B5C"/>
    <w:rsid w:val="007D16C6"/>
    <w:rsid w:val="007D26ED"/>
    <w:rsid w:val="007D4E9D"/>
    <w:rsid w:val="007E50E4"/>
    <w:rsid w:val="007F0E78"/>
    <w:rsid w:val="007F6C68"/>
    <w:rsid w:val="00805D7F"/>
    <w:rsid w:val="00816E4F"/>
    <w:rsid w:val="0082341E"/>
    <w:rsid w:val="00827DF1"/>
    <w:rsid w:val="00831A7F"/>
    <w:rsid w:val="0084412D"/>
    <w:rsid w:val="00851D22"/>
    <w:rsid w:val="008521C5"/>
    <w:rsid w:val="00854DCC"/>
    <w:rsid w:val="008612CE"/>
    <w:rsid w:val="00885A02"/>
    <w:rsid w:val="00885B8F"/>
    <w:rsid w:val="0088787B"/>
    <w:rsid w:val="008900D9"/>
    <w:rsid w:val="00891C62"/>
    <w:rsid w:val="00897093"/>
    <w:rsid w:val="008970CD"/>
    <w:rsid w:val="008C0017"/>
    <w:rsid w:val="008D2E35"/>
    <w:rsid w:val="008E4781"/>
    <w:rsid w:val="008E59C6"/>
    <w:rsid w:val="008F1F2A"/>
    <w:rsid w:val="0090409F"/>
    <w:rsid w:val="0090622C"/>
    <w:rsid w:val="009071FA"/>
    <w:rsid w:val="00921B00"/>
    <w:rsid w:val="00925AC0"/>
    <w:rsid w:val="009361F3"/>
    <w:rsid w:val="00945A95"/>
    <w:rsid w:val="00945D47"/>
    <w:rsid w:val="00954B17"/>
    <w:rsid w:val="009556A2"/>
    <w:rsid w:val="00960424"/>
    <w:rsid w:val="00960B15"/>
    <w:rsid w:val="00964578"/>
    <w:rsid w:val="009669B1"/>
    <w:rsid w:val="00971C62"/>
    <w:rsid w:val="00971C7A"/>
    <w:rsid w:val="009808C2"/>
    <w:rsid w:val="00987164"/>
    <w:rsid w:val="00991695"/>
    <w:rsid w:val="00991F84"/>
    <w:rsid w:val="00994332"/>
    <w:rsid w:val="00995F72"/>
    <w:rsid w:val="009962DA"/>
    <w:rsid w:val="009A64B5"/>
    <w:rsid w:val="009A74EA"/>
    <w:rsid w:val="009B285F"/>
    <w:rsid w:val="009B4311"/>
    <w:rsid w:val="009C32FE"/>
    <w:rsid w:val="009C3591"/>
    <w:rsid w:val="009D06E2"/>
    <w:rsid w:val="009D3F1C"/>
    <w:rsid w:val="009D7978"/>
    <w:rsid w:val="009E3421"/>
    <w:rsid w:val="009E55B3"/>
    <w:rsid w:val="009F19B3"/>
    <w:rsid w:val="009F4A09"/>
    <w:rsid w:val="009F643C"/>
    <w:rsid w:val="00A00600"/>
    <w:rsid w:val="00A14E11"/>
    <w:rsid w:val="00A161A5"/>
    <w:rsid w:val="00A25CC6"/>
    <w:rsid w:val="00A31DDE"/>
    <w:rsid w:val="00A47C15"/>
    <w:rsid w:val="00A545B8"/>
    <w:rsid w:val="00A605FE"/>
    <w:rsid w:val="00A70170"/>
    <w:rsid w:val="00A761AD"/>
    <w:rsid w:val="00A76DEA"/>
    <w:rsid w:val="00A97924"/>
    <w:rsid w:val="00AA1242"/>
    <w:rsid w:val="00AA6C02"/>
    <w:rsid w:val="00AB168B"/>
    <w:rsid w:val="00AB2259"/>
    <w:rsid w:val="00AB349A"/>
    <w:rsid w:val="00AB7BB8"/>
    <w:rsid w:val="00AC1E6C"/>
    <w:rsid w:val="00AC396D"/>
    <w:rsid w:val="00AD0322"/>
    <w:rsid w:val="00AD0FC1"/>
    <w:rsid w:val="00AD4D7E"/>
    <w:rsid w:val="00AD58AD"/>
    <w:rsid w:val="00AD5979"/>
    <w:rsid w:val="00AE1891"/>
    <w:rsid w:val="00AE49DC"/>
    <w:rsid w:val="00B0699A"/>
    <w:rsid w:val="00B4265D"/>
    <w:rsid w:val="00B4487D"/>
    <w:rsid w:val="00B526D6"/>
    <w:rsid w:val="00B54261"/>
    <w:rsid w:val="00B60066"/>
    <w:rsid w:val="00B600B2"/>
    <w:rsid w:val="00B60396"/>
    <w:rsid w:val="00B6200F"/>
    <w:rsid w:val="00B72DF7"/>
    <w:rsid w:val="00B83E83"/>
    <w:rsid w:val="00B87260"/>
    <w:rsid w:val="00B90521"/>
    <w:rsid w:val="00B9414E"/>
    <w:rsid w:val="00BA2BB4"/>
    <w:rsid w:val="00BC2772"/>
    <w:rsid w:val="00BC6047"/>
    <w:rsid w:val="00BE0829"/>
    <w:rsid w:val="00C0508E"/>
    <w:rsid w:val="00C16555"/>
    <w:rsid w:val="00C217C6"/>
    <w:rsid w:val="00C2466F"/>
    <w:rsid w:val="00C25735"/>
    <w:rsid w:val="00C27A6F"/>
    <w:rsid w:val="00C27CB7"/>
    <w:rsid w:val="00C37187"/>
    <w:rsid w:val="00C37D91"/>
    <w:rsid w:val="00C64DE4"/>
    <w:rsid w:val="00C66521"/>
    <w:rsid w:val="00C745E6"/>
    <w:rsid w:val="00C75299"/>
    <w:rsid w:val="00C767A1"/>
    <w:rsid w:val="00C94568"/>
    <w:rsid w:val="00CA24E6"/>
    <w:rsid w:val="00CA2FF2"/>
    <w:rsid w:val="00CB26F6"/>
    <w:rsid w:val="00CC6DCC"/>
    <w:rsid w:val="00CD22D0"/>
    <w:rsid w:val="00CE2F14"/>
    <w:rsid w:val="00CE5834"/>
    <w:rsid w:val="00CF521D"/>
    <w:rsid w:val="00D04835"/>
    <w:rsid w:val="00D05E7E"/>
    <w:rsid w:val="00D1180D"/>
    <w:rsid w:val="00D11EAB"/>
    <w:rsid w:val="00D17E56"/>
    <w:rsid w:val="00D243CC"/>
    <w:rsid w:val="00D33490"/>
    <w:rsid w:val="00D345BA"/>
    <w:rsid w:val="00D532DB"/>
    <w:rsid w:val="00D54155"/>
    <w:rsid w:val="00D5415E"/>
    <w:rsid w:val="00D63064"/>
    <w:rsid w:val="00D64C58"/>
    <w:rsid w:val="00D67ADD"/>
    <w:rsid w:val="00D80AEA"/>
    <w:rsid w:val="00D87487"/>
    <w:rsid w:val="00D900DA"/>
    <w:rsid w:val="00D90AAA"/>
    <w:rsid w:val="00D90F6F"/>
    <w:rsid w:val="00D93C7B"/>
    <w:rsid w:val="00DA29EC"/>
    <w:rsid w:val="00DA71D9"/>
    <w:rsid w:val="00DA7C5D"/>
    <w:rsid w:val="00DB18AB"/>
    <w:rsid w:val="00DC0169"/>
    <w:rsid w:val="00DC0AF9"/>
    <w:rsid w:val="00DE09CD"/>
    <w:rsid w:val="00DE2B3B"/>
    <w:rsid w:val="00DE42B8"/>
    <w:rsid w:val="00DF2053"/>
    <w:rsid w:val="00DF600D"/>
    <w:rsid w:val="00E04DA4"/>
    <w:rsid w:val="00E27AAB"/>
    <w:rsid w:val="00E27B43"/>
    <w:rsid w:val="00E304F3"/>
    <w:rsid w:val="00E30FB0"/>
    <w:rsid w:val="00E32089"/>
    <w:rsid w:val="00E35557"/>
    <w:rsid w:val="00E37FA4"/>
    <w:rsid w:val="00E435C5"/>
    <w:rsid w:val="00E47E0F"/>
    <w:rsid w:val="00E5571D"/>
    <w:rsid w:val="00E56435"/>
    <w:rsid w:val="00E61933"/>
    <w:rsid w:val="00E676CD"/>
    <w:rsid w:val="00E679F5"/>
    <w:rsid w:val="00E7559F"/>
    <w:rsid w:val="00E86724"/>
    <w:rsid w:val="00EA001C"/>
    <w:rsid w:val="00EA1FAD"/>
    <w:rsid w:val="00ED057A"/>
    <w:rsid w:val="00EE2CB7"/>
    <w:rsid w:val="00EE70B2"/>
    <w:rsid w:val="00EF30BF"/>
    <w:rsid w:val="00F00037"/>
    <w:rsid w:val="00F05CA7"/>
    <w:rsid w:val="00F107C4"/>
    <w:rsid w:val="00F211EF"/>
    <w:rsid w:val="00F21957"/>
    <w:rsid w:val="00F25D80"/>
    <w:rsid w:val="00F27150"/>
    <w:rsid w:val="00F400C3"/>
    <w:rsid w:val="00F51A9A"/>
    <w:rsid w:val="00F624EB"/>
    <w:rsid w:val="00F67991"/>
    <w:rsid w:val="00F71916"/>
    <w:rsid w:val="00F91830"/>
    <w:rsid w:val="00FA0A53"/>
    <w:rsid w:val="00FA7ABB"/>
    <w:rsid w:val="00FE2F31"/>
    <w:rsid w:val="00FE3664"/>
    <w:rsid w:val="00FE6685"/>
    <w:rsid w:val="00FE687D"/>
    <w:rsid w:val="00FE6DB5"/>
    <w:rsid w:val="00FF068A"/>
    <w:rsid w:val="00FF16C8"/>
    <w:rsid w:val="00FF2AB5"/>
    <w:rsid w:val="00FF774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4D1925"/>
  <w15:chartTrackingRefBased/>
  <w15:docId w15:val="{23C688B1-21C1-487E-959A-769A2DBF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3BCA"/>
    <w:rPr>
      <w:rFonts w:ascii="Times New Roman" w:eastAsia="Times New Roman" w:hAnsi="Times New Roman"/>
      <w:sz w:val="24"/>
      <w:lang w:val="en-US" w:eastAsia="en-US"/>
    </w:rPr>
  </w:style>
  <w:style w:type="paragraph" w:styleId="Heading1">
    <w:name w:val="heading 1"/>
    <w:aliases w:val="Section"/>
    <w:basedOn w:val="Normal"/>
    <w:next w:val="Paragraph"/>
    <w:link w:val="Heading1Char"/>
    <w:qFormat/>
    <w:rsid w:val="00C217C6"/>
    <w:pPr>
      <w:keepNext/>
      <w:outlineLvl w:val="0"/>
    </w:pPr>
    <w:rPr>
      <w:b/>
      <w:caps/>
      <w:sz w:val="22"/>
    </w:rPr>
  </w:style>
  <w:style w:type="paragraph" w:styleId="Heading2">
    <w:name w:val="heading 2"/>
    <w:aliases w:val="Sub Section"/>
    <w:basedOn w:val="Normal"/>
    <w:next w:val="Paragraph"/>
    <w:link w:val="Heading2Char"/>
    <w:qFormat/>
    <w:rsid w:val="00C217C6"/>
    <w:pPr>
      <w:keepNext/>
      <w:outlineLvl w:val="1"/>
    </w:pPr>
    <w:rPr>
      <w:b/>
      <w:sz w:val="22"/>
    </w:rPr>
  </w:style>
  <w:style w:type="paragraph" w:styleId="Heading3">
    <w:name w:val="heading 3"/>
    <w:aliases w:val="Sub-sub section"/>
    <w:basedOn w:val="Normal"/>
    <w:next w:val="Normal"/>
    <w:link w:val="Heading3Char"/>
    <w:qFormat/>
    <w:rsid w:val="00C217C6"/>
    <w:pPr>
      <w:keepNext/>
      <w:outlineLvl w:val="2"/>
    </w:pPr>
    <w:rPr>
      <w:i/>
      <w:iCs/>
      <w:sz w:val="22"/>
      <w:lang w:val="en-GB" w:eastAsia="en-GB"/>
    </w:rPr>
  </w:style>
  <w:style w:type="paragraph" w:styleId="Heading4">
    <w:name w:val="heading 4"/>
    <w:aliases w:val="Sub-sub-sub_Section"/>
    <w:next w:val="Normal"/>
    <w:link w:val="Heading4Char"/>
    <w:autoRedefine/>
    <w:uiPriority w:val="9"/>
    <w:unhideWhenUsed/>
    <w:rsid w:val="00503BCA"/>
    <w:pPr>
      <w:keepNext/>
      <w:keepLines/>
      <w:spacing w:before="40" w:line="259" w:lineRule="auto"/>
      <w:outlineLvl w:val="3"/>
    </w:pPr>
    <w:rPr>
      <w:rFonts w:ascii="Century Schoolbook" w:eastAsiaTheme="majorEastAsia" w:hAnsi="Century Schoolbook" w:cstheme="majorBidi"/>
      <w:i/>
      <w:iCs/>
      <w:sz w:val="22"/>
      <w:szCs w:val="22"/>
      <w:lang w:val="en-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Heading1"/>
    <w:rsid w:val="00C217C6"/>
    <w:pPr>
      <w:jc w:val="both"/>
    </w:pPr>
    <w:rPr>
      <w:i/>
      <w:sz w:val="18"/>
    </w:rPr>
  </w:style>
  <w:style w:type="paragraph" w:customStyle="1" w:styleId="AuthorAffiliation">
    <w:name w:val="Author Affiliation"/>
    <w:basedOn w:val="Normal"/>
    <w:rsid w:val="00995F72"/>
    <w:pPr>
      <w:jc w:val="center"/>
    </w:pPr>
    <w:rPr>
      <w:sz w:val="18"/>
    </w:rPr>
  </w:style>
  <w:style w:type="paragraph" w:customStyle="1" w:styleId="AuthorEmail">
    <w:name w:val="Author Email"/>
    <w:basedOn w:val="Normal"/>
    <w:qFormat/>
    <w:rsid w:val="00995F72"/>
    <w:pPr>
      <w:jc w:val="center"/>
    </w:pPr>
    <w:rPr>
      <w:sz w:val="18"/>
    </w:rPr>
  </w:style>
  <w:style w:type="paragraph" w:customStyle="1" w:styleId="AuthorName">
    <w:name w:val="Author Name"/>
    <w:basedOn w:val="Normal"/>
    <w:next w:val="AuthorAffiliation"/>
    <w:qFormat/>
    <w:rsid w:val="00995F72"/>
    <w:pPr>
      <w:jc w:val="center"/>
    </w:pPr>
    <w:rPr>
      <w:b/>
      <w:sz w:val="22"/>
    </w:rPr>
  </w:style>
  <w:style w:type="paragraph" w:styleId="BalloonText">
    <w:name w:val="Balloon Text"/>
    <w:basedOn w:val="Normal"/>
    <w:link w:val="BalloonTextChar"/>
    <w:rsid w:val="00503BCA"/>
    <w:rPr>
      <w:rFonts w:ascii="Tahoma" w:hAnsi="Tahoma" w:cs="Tahoma"/>
      <w:sz w:val="16"/>
      <w:szCs w:val="16"/>
    </w:rPr>
  </w:style>
  <w:style w:type="character" w:customStyle="1" w:styleId="Heading1Char">
    <w:name w:val="Heading 1 Char"/>
    <w:aliases w:val="Section Char"/>
    <w:link w:val="Heading1"/>
    <w:rsid w:val="00C217C6"/>
    <w:rPr>
      <w:rFonts w:ascii="Times New Roman" w:eastAsia="Times New Roman" w:hAnsi="Times New Roman"/>
      <w:b/>
      <w:caps/>
      <w:sz w:val="22"/>
      <w:lang w:val="en-US" w:eastAsia="en-US"/>
    </w:rPr>
  </w:style>
  <w:style w:type="character" w:customStyle="1" w:styleId="BalloonTextChar">
    <w:name w:val="Balloon Text Char"/>
    <w:basedOn w:val="DefaultParagraphFont"/>
    <w:link w:val="BalloonText"/>
    <w:rsid w:val="00503BCA"/>
    <w:rPr>
      <w:rFonts w:ascii="Tahoma" w:eastAsia="Times New Roman" w:hAnsi="Tahoma" w:cs="Tahoma"/>
      <w:sz w:val="16"/>
      <w:szCs w:val="16"/>
      <w:lang w:val="en-US" w:eastAsia="en-US"/>
    </w:rPr>
  </w:style>
  <w:style w:type="character" w:styleId="CommentReference">
    <w:name w:val="annotation reference"/>
    <w:basedOn w:val="DefaultParagraphFont"/>
    <w:semiHidden/>
    <w:unhideWhenUsed/>
    <w:rsid w:val="00503BCA"/>
    <w:rPr>
      <w:sz w:val="16"/>
      <w:szCs w:val="16"/>
    </w:rPr>
  </w:style>
  <w:style w:type="character" w:customStyle="1" w:styleId="Heading2Char">
    <w:name w:val="Heading 2 Char"/>
    <w:aliases w:val="Sub Section Char"/>
    <w:link w:val="Heading2"/>
    <w:rsid w:val="00C217C6"/>
    <w:rPr>
      <w:rFonts w:ascii="Times New Roman" w:eastAsia="Times New Roman" w:hAnsi="Times New Roman"/>
      <w:b/>
      <w:sz w:val="22"/>
      <w:lang w:val="en-US" w:eastAsia="en-US"/>
    </w:rPr>
  </w:style>
  <w:style w:type="paragraph" w:styleId="CommentText">
    <w:name w:val="annotation text"/>
    <w:basedOn w:val="Normal"/>
    <w:link w:val="CommentTextChar"/>
    <w:semiHidden/>
    <w:unhideWhenUsed/>
    <w:rsid w:val="00503BCA"/>
    <w:rPr>
      <w:sz w:val="20"/>
    </w:rPr>
  </w:style>
  <w:style w:type="character" w:customStyle="1" w:styleId="CommentTextChar">
    <w:name w:val="Comment Text Char"/>
    <w:basedOn w:val="DefaultParagraphFont"/>
    <w:link w:val="CommentText"/>
    <w:semiHidden/>
    <w:rsid w:val="00503BCA"/>
    <w:rPr>
      <w:rFonts w:ascii="Times New Roman" w:eastAsia="Times New Roman" w:hAnsi="Times New Roman"/>
      <w:lang w:val="en-US" w:eastAsia="en-US"/>
    </w:rPr>
  </w:style>
  <w:style w:type="paragraph" w:styleId="CommentSubject">
    <w:name w:val="annotation subject"/>
    <w:basedOn w:val="CommentText"/>
    <w:next w:val="CommentText"/>
    <w:link w:val="CommentSubjectChar"/>
    <w:semiHidden/>
    <w:unhideWhenUsed/>
    <w:rsid w:val="00503BCA"/>
    <w:rPr>
      <w:b/>
      <w:bCs/>
    </w:rPr>
  </w:style>
  <w:style w:type="character" w:customStyle="1" w:styleId="CommentSubjectChar">
    <w:name w:val="Comment Subject Char"/>
    <w:basedOn w:val="CommentTextChar"/>
    <w:link w:val="CommentSubject"/>
    <w:semiHidden/>
    <w:rsid w:val="00503BCA"/>
    <w:rPr>
      <w:rFonts w:ascii="Times New Roman" w:eastAsia="Times New Roman" w:hAnsi="Times New Roman"/>
      <w:b/>
      <w:bCs/>
      <w:lang w:val="en-US" w:eastAsia="en-US"/>
    </w:rPr>
  </w:style>
  <w:style w:type="character" w:styleId="Emphasis">
    <w:name w:val="Emphasis"/>
    <w:basedOn w:val="DefaultParagraphFont"/>
    <w:uiPriority w:val="20"/>
    <w:qFormat/>
    <w:rsid w:val="00503BCA"/>
    <w:rPr>
      <w:i/>
      <w:iCs/>
    </w:rPr>
  </w:style>
  <w:style w:type="character" w:customStyle="1" w:styleId="Heading3Char">
    <w:name w:val="Heading 3 Char"/>
    <w:aliases w:val="Sub-sub section Char"/>
    <w:link w:val="Heading3"/>
    <w:rsid w:val="00C217C6"/>
    <w:rPr>
      <w:rFonts w:ascii="Times New Roman" w:eastAsia="Times New Roman" w:hAnsi="Times New Roman"/>
      <w:i/>
      <w:iCs/>
      <w:sz w:val="22"/>
      <w:lang w:val="en-GB" w:eastAsia="en-GB"/>
    </w:rPr>
  </w:style>
  <w:style w:type="paragraph" w:customStyle="1" w:styleId="Paragraph">
    <w:name w:val="Paragraph"/>
    <w:basedOn w:val="Normal"/>
    <w:rsid w:val="00C217C6"/>
    <w:pPr>
      <w:spacing w:before="120"/>
      <w:ind w:firstLine="720"/>
      <w:jc w:val="both"/>
    </w:pPr>
    <w:rPr>
      <w:sz w:val="22"/>
    </w:rPr>
  </w:style>
  <w:style w:type="paragraph" w:customStyle="1" w:styleId="Equation">
    <w:name w:val="Equation"/>
    <w:basedOn w:val="Paragraph"/>
    <w:rsid w:val="005003D6"/>
    <w:pPr>
      <w:tabs>
        <w:tab w:val="center" w:pos="4320"/>
        <w:tab w:val="right" w:pos="9242"/>
      </w:tabs>
      <w:ind w:firstLine="0"/>
    </w:pPr>
  </w:style>
  <w:style w:type="paragraph" w:customStyle="1" w:styleId="Figure">
    <w:name w:val="Figure"/>
    <w:basedOn w:val="Paragraph"/>
    <w:rsid w:val="00503BCA"/>
    <w:pPr>
      <w:keepNext/>
      <w:ind w:firstLine="0"/>
      <w:jc w:val="center"/>
    </w:pPr>
  </w:style>
  <w:style w:type="paragraph" w:customStyle="1" w:styleId="FigureCaption">
    <w:name w:val="Figure Caption"/>
    <w:next w:val="Paragraph"/>
    <w:rsid w:val="0026290A"/>
    <w:pPr>
      <w:spacing w:before="120"/>
      <w:jc w:val="center"/>
    </w:pPr>
    <w:rPr>
      <w:rFonts w:ascii="Times New Roman" w:eastAsia="Times New Roman" w:hAnsi="Times New Roman"/>
      <w:sz w:val="22"/>
      <w:lang w:val="en-US" w:eastAsia="en-US"/>
    </w:rPr>
  </w:style>
  <w:style w:type="character" w:styleId="FootnoteReference">
    <w:name w:val="footnote reference"/>
    <w:semiHidden/>
    <w:rsid w:val="00503BCA"/>
    <w:rPr>
      <w:vertAlign w:val="superscript"/>
    </w:rPr>
  </w:style>
  <w:style w:type="paragraph" w:styleId="FootnoteText">
    <w:name w:val="footnote text"/>
    <w:basedOn w:val="Normal"/>
    <w:link w:val="FootnoteTextChar"/>
    <w:semiHidden/>
    <w:rsid w:val="00503BCA"/>
    <w:rPr>
      <w:sz w:val="16"/>
    </w:rPr>
  </w:style>
  <w:style w:type="character" w:customStyle="1" w:styleId="FootnoteTextChar">
    <w:name w:val="Footnote Text Char"/>
    <w:basedOn w:val="DefaultParagraphFont"/>
    <w:link w:val="FootnoteText"/>
    <w:semiHidden/>
    <w:rsid w:val="00503BCA"/>
    <w:rPr>
      <w:rFonts w:ascii="Times New Roman" w:eastAsia="Times New Roman" w:hAnsi="Times New Roman"/>
      <w:sz w:val="16"/>
      <w:lang w:val="en-US" w:eastAsia="en-US"/>
    </w:rPr>
  </w:style>
  <w:style w:type="character" w:styleId="Hyperlink">
    <w:name w:val="Hyperlink"/>
    <w:rsid w:val="00503BCA"/>
    <w:rPr>
      <w:color w:val="0000FF"/>
      <w:u w:val="single"/>
    </w:rPr>
  </w:style>
  <w:style w:type="paragraph" w:styleId="ListParagraph">
    <w:name w:val="List Paragraph"/>
    <w:basedOn w:val="Normal"/>
    <w:uiPriority w:val="34"/>
    <w:rsid w:val="00503BCA"/>
    <w:pPr>
      <w:ind w:left="720"/>
      <w:contextualSpacing/>
    </w:pPr>
  </w:style>
  <w:style w:type="character" w:customStyle="1" w:styleId="Heading4Char">
    <w:name w:val="Heading 4 Char"/>
    <w:aliases w:val="Sub-sub-sub_Section Char"/>
    <w:basedOn w:val="DefaultParagraphFont"/>
    <w:link w:val="Heading4"/>
    <w:uiPriority w:val="9"/>
    <w:rsid w:val="00503BCA"/>
    <w:rPr>
      <w:rFonts w:ascii="Century Schoolbook" w:eastAsiaTheme="majorEastAsia" w:hAnsi="Century Schoolbook" w:cstheme="majorBidi"/>
      <w:i/>
      <w:iCs/>
      <w:sz w:val="22"/>
      <w:szCs w:val="22"/>
      <w:lang w:val="en-ID" w:eastAsia="en-US"/>
    </w:rPr>
  </w:style>
  <w:style w:type="paragraph" w:styleId="NormalWeb">
    <w:name w:val="Normal (Web)"/>
    <w:basedOn w:val="Normal"/>
    <w:uiPriority w:val="99"/>
    <w:unhideWhenUsed/>
    <w:rsid w:val="00503BCA"/>
    <w:pPr>
      <w:spacing w:before="100" w:beforeAutospacing="1" w:after="100" w:afterAutospacing="1"/>
    </w:pPr>
    <w:rPr>
      <w:szCs w:val="24"/>
      <w:lang w:val="en-GB" w:eastAsia="en-GB"/>
    </w:rPr>
  </w:style>
  <w:style w:type="paragraph" w:customStyle="1" w:styleId="PaperTitle">
    <w:name w:val="Paper Title"/>
    <w:basedOn w:val="Normal"/>
    <w:next w:val="AuthorName"/>
    <w:rsid w:val="00B54261"/>
    <w:pPr>
      <w:jc w:val="center"/>
    </w:pPr>
    <w:rPr>
      <w:b/>
      <w:sz w:val="32"/>
    </w:rPr>
  </w:style>
  <w:style w:type="paragraph" w:customStyle="1" w:styleId="Paragraphbulleted">
    <w:name w:val="Paragraph (bulleted)"/>
    <w:basedOn w:val="Paragraph"/>
    <w:rsid w:val="00503BCA"/>
    <w:pPr>
      <w:numPr>
        <w:numId w:val="10"/>
      </w:numPr>
    </w:pPr>
  </w:style>
  <w:style w:type="paragraph" w:customStyle="1" w:styleId="Paragraphnumbered">
    <w:name w:val="Paragraph (numbered)"/>
    <w:rsid w:val="005003D6"/>
    <w:pPr>
      <w:numPr>
        <w:numId w:val="11"/>
      </w:numPr>
      <w:jc w:val="both"/>
    </w:pPr>
    <w:rPr>
      <w:rFonts w:ascii="Times New Roman" w:eastAsia="Times New Roman" w:hAnsi="Times New Roman"/>
      <w:sz w:val="22"/>
      <w:lang w:val="en-US" w:eastAsia="en-US"/>
    </w:rPr>
  </w:style>
  <w:style w:type="paragraph" w:customStyle="1" w:styleId="Reference">
    <w:name w:val="Reference"/>
    <w:basedOn w:val="Paragraph"/>
    <w:rsid w:val="00D04835"/>
    <w:pPr>
      <w:numPr>
        <w:numId w:val="12"/>
      </w:numPr>
      <w:spacing w:before="0"/>
      <w:ind w:left="510" w:hanging="397"/>
    </w:pPr>
  </w:style>
  <w:style w:type="character" w:styleId="Strong">
    <w:name w:val="Strong"/>
    <w:basedOn w:val="DefaultParagraphFont"/>
    <w:uiPriority w:val="22"/>
    <w:qFormat/>
    <w:rsid w:val="00503BCA"/>
    <w:rPr>
      <w:b/>
      <w:bCs/>
    </w:rPr>
  </w:style>
  <w:style w:type="paragraph" w:customStyle="1" w:styleId="TableCaption">
    <w:name w:val="Table Caption"/>
    <w:basedOn w:val="FigureCaption"/>
    <w:qFormat/>
    <w:rsid w:val="00503BCA"/>
    <w:rPr>
      <w:szCs w:val="18"/>
    </w:rPr>
  </w:style>
  <w:style w:type="table" w:styleId="TableGrid">
    <w:name w:val="Table Grid"/>
    <w:basedOn w:val="TableNormal"/>
    <w:uiPriority w:val="39"/>
    <w:rsid w:val="00503BCA"/>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03BCA"/>
    <w:rPr>
      <w:color w:val="808080"/>
      <w:shd w:val="clear" w:color="auto" w:fill="E6E6E6"/>
    </w:rPr>
  </w:style>
  <w:style w:type="paragraph" w:styleId="Header">
    <w:name w:val="header"/>
    <w:basedOn w:val="Normal"/>
    <w:link w:val="HeaderChar"/>
    <w:uiPriority w:val="99"/>
    <w:unhideWhenUsed/>
    <w:rsid w:val="000D0133"/>
    <w:pPr>
      <w:tabs>
        <w:tab w:val="center" w:pos="4680"/>
        <w:tab w:val="right" w:pos="9360"/>
      </w:tabs>
    </w:pPr>
  </w:style>
  <w:style w:type="character" w:customStyle="1" w:styleId="HeaderChar">
    <w:name w:val="Header Char"/>
    <w:basedOn w:val="DefaultParagraphFont"/>
    <w:link w:val="Header"/>
    <w:uiPriority w:val="99"/>
    <w:rsid w:val="000D0133"/>
    <w:rPr>
      <w:rFonts w:ascii="Times New Roman" w:eastAsia="Times New Roman" w:hAnsi="Times New Roman"/>
      <w:sz w:val="24"/>
      <w:lang w:val="en-US" w:eastAsia="en-US"/>
    </w:rPr>
  </w:style>
  <w:style w:type="paragraph" w:styleId="Footer">
    <w:name w:val="footer"/>
    <w:basedOn w:val="Normal"/>
    <w:link w:val="FooterChar"/>
    <w:uiPriority w:val="99"/>
    <w:unhideWhenUsed/>
    <w:rsid w:val="000D0133"/>
    <w:pPr>
      <w:tabs>
        <w:tab w:val="center" w:pos="4680"/>
        <w:tab w:val="right" w:pos="9360"/>
      </w:tabs>
    </w:pPr>
  </w:style>
  <w:style w:type="character" w:customStyle="1" w:styleId="FooterChar">
    <w:name w:val="Footer Char"/>
    <w:basedOn w:val="DefaultParagraphFont"/>
    <w:link w:val="Footer"/>
    <w:uiPriority w:val="99"/>
    <w:rsid w:val="000D0133"/>
    <w:rPr>
      <w:rFonts w:ascii="Times New Roman" w:eastAsia="Times New Roman" w:hAnsi="Times New Roman"/>
      <w:sz w:val="24"/>
      <w:lang w:val="en-US" w:eastAsia="en-US"/>
    </w:rPr>
  </w:style>
  <w:style w:type="character" w:styleId="UnresolvedMention">
    <w:name w:val="Unresolved Mention"/>
    <w:basedOn w:val="DefaultParagraphFont"/>
    <w:uiPriority w:val="99"/>
    <w:semiHidden/>
    <w:unhideWhenUsed/>
    <w:rsid w:val="000A75B9"/>
    <w:rPr>
      <w:color w:val="605E5C"/>
      <w:shd w:val="clear" w:color="auto" w:fill="E1DFDD"/>
    </w:rPr>
  </w:style>
  <w:style w:type="character" w:styleId="PlaceholderText">
    <w:name w:val="Placeholder Text"/>
    <w:basedOn w:val="DefaultParagraphFont"/>
    <w:uiPriority w:val="99"/>
    <w:semiHidden/>
    <w:rsid w:val="00964578"/>
    <w:rPr>
      <w:color w:val="666666"/>
    </w:rPr>
  </w:style>
  <w:style w:type="paragraph" w:customStyle="1" w:styleId="icsmheading1">
    <w:name w:val="icsm_heading1"/>
    <w:basedOn w:val="Normal"/>
    <w:rsid w:val="002D67FA"/>
    <w:pPr>
      <w:spacing w:before="480" w:after="240"/>
    </w:pPr>
    <w:rPr>
      <w:b/>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ika.tonoputri@polines.ac.i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OEE!$AH$9</c:f>
              <c:strCache>
                <c:ptCount val="1"/>
                <c:pt idx="0">
                  <c:v>Availability</c:v>
                </c:pt>
              </c:strCache>
            </c:strRef>
          </c:tx>
          <c:spPr>
            <a:solidFill>
              <a:srgbClr val="00B0F0"/>
            </a:solidFill>
            <a:ln>
              <a:noFill/>
            </a:ln>
            <a:effectLst/>
          </c:spPr>
          <c:invertIfNegative val="0"/>
          <c:cat>
            <c:multiLvlStrRef>
              <c:f>OEE!$AF$10:$AG$34</c:f>
              <c:multiLvlStrCache>
                <c:ptCount val="25"/>
                <c:lvl>
                  <c:pt idx="0">
                    <c:v>10</c:v>
                  </c:pt>
                  <c:pt idx="1">
                    <c:v>11</c:v>
                  </c:pt>
                  <c:pt idx="2">
                    <c:v>15</c:v>
                  </c:pt>
                  <c:pt idx="3">
                    <c:v>16</c:v>
                  </c:pt>
                  <c:pt idx="4">
                    <c:v>17</c:v>
                  </c:pt>
                  <c:pt idx="5">
                    <c:v>18</c:v>
                  </c:pt>
                  <c:pt idx="6">
                    <c:v>19</c:v>
                  </c:pt>
                  <c:pt idx="7">
                    <c:v>20</c:v>
                  </c:pt>
                  <c:pt idx="8">
                    <c:v>22</c:v>
                  </c:pt>
                  <c:pt idx="9">
                    <c:v>23</c:v>
                  </c:pt>
                  <c:pt idx="10">
                    <c:v>24</c:v>
                  </c:pt>
                  <c:pt idx="11">
                    <c:v>25</c:v>
                  </c:pt>
                  <c:pt idx="12">
                    <c:v>26</c:v>
                  </c:pt>
                  <c:pt idx="13">
                    <c:v>27</c:v>
                  </c:pt>
                  <c:pt idx="14">
                    <c:v>29</c:v>
                  </c:pt>
                  <c:pt idx="15">
                    <c:v>30</c:v>
                  </c:pt>
                  <c:pt idx="16">
                    <c:v>31</c:v>
                  </c:pt>
                  <c:pt idx="17">
                    <c:v>1</c:v>
                  </c:pt>
                  <c:pt idx="18">
                    <c:v>2</c:v>
                  </c:pt>
                  <c:pt idx="19">
                    <c:v>3</c:v>
                  </c:pt>
                  <c:pt idx="20">
                    <c:v>5</c:v>
                  </c:pt>
                  <c:pt idx="21">
                    <c:v>6</c:v>
                  </c:pt>
                  <c:pt idx="22">
                    <c:v>9</c:v>
                  </c:pt>
                  <c:pt idx="23">
                    <c:v>11</c:v>
                  </c:pt>
                  <c:pt idx="24">
                    <c:v>12</c:v>
                  </c:pt>
                </c:lvl>
                <c:lvl>
                  <c:pt idx="0">
                    <c:v>Januari</c:v>
                  </c:pt>
                  <c:pt idx="17">
                    <c:v>Februari</c:v>
                  </c:pt>
                </c:lvl>
              </c:multiLvlStrCache>
            </c:multiLvlStrRef>
          </c:cat>
          <c:val>
            <c:numRef>
              <c:f>OEE!$AH$10:$AH$34</c:f>
              <c:numCache>
                <c:formatCode>0.00%</c:formatCode>
                <c:ptCount val="25"/>
                <c:pt idx="0">
                  <c:v>1</c:v>
                </c:pt>
                <c:pt idx="1">
                  <c:v>0.97959183673469385</c:v>
                </c:pt>
                <c:pt idx="2">
                  <c:v>1</c:v>
                </c:pt>
                <c:pt idx="3">
                  <c:v>1</c:v>
                </c:pt>
                <c:pt idx="4">
                  <c:v>1</c:v>
                </c:pt>
                <c:pt idx="5">
                  <c:v>1</c:v>
                </c:pt>
                <c:pt idx="6">
                  <c:v>1</c:v>
                </c:pt>
                <c:pt idx="7">
                  <c:v>1</c:v>
                </c:pt>
                <c:pt idx="8">
                  <c:v>1</c:v>
                </c:pt>
                <c:pt idx="9">
                  <c:v>1</c:v>
                </c:pt>
                <c:pt idx="10">
                  <c:v>1</c:v>
                </c:pt>
                <c:pt idx="11">
                  <c:v>1</c:v>
                </c:pt>
                <c:pt idx="12">
                  <c:v>1</c:v>
                </c:pt>
                <c:pt idx="13">
                  <c:v>0.6875</c:v>
                </c:pt>
                <c:pt idx="14">
                  <c:v>1</c:v>
                </c:pt>
                <c:pt idx="15">
                  <c:v>1</c:v>
                </c:pt>
                <c:pt idx="16">
                  <c:v>1</c:v>
                </c:pt>
                <c:pt idx="17">
                  <c:v>1</c:v>
                </c:pt>
                <c:pt idx="18">
                  <c:v>0.96389891696750907</c:v>
                </c:pt>
                <c:pt idx="19">
                  <c:v>1</c:v>
                </c:pt>
                <c:pt idx="20">
                  <c:v>0.93402777777777779</c:v>
                </c:pt>
                <c:pt idx="21">
                  <c:v>1</c:v>
                </c:pt>
                <c:pt idx="22">
                  <c:v>0.92430278884462147</c:v>
                </c:pt>
                <c:pt idx="23">
                  <c:v>0.85915492957746475</c:v>
                </c:pt>
                <c:pt idx="24">
                  <c:v>1</c:v>
                </c:pt>
              </c:numCache>
            </c:numRef>
          </c:val>
          <c:extLst>
            <c:ext xmlns:c16="http://schemas.microsoft.com/office/drawing/2014/chart" uri="{C3380CC4-5D6E-409C-BE32-E72D297353CC}">
              <c16:uniqueId val="{00000000-0B51-48CA-B8B8-359E47811172}"/>
            </c:ext>
          </c:extLst>
        </c:ser>
        <c:ser>
          <c:idx val="1"/>
          <c:order val="1"/>
          <c:tx>
            <c:strRef>
              <c:f>OEE!$AI$9</c:f>
              <c:strCache>
                <c:ptCount val="1"/>
                <c:pt idx="0">
                  <c:v>Performance</c:v>
                </c:pt>
              </c:strCache>
            </c:strRef>
          </c:tx>
          <c:spPr>
            <a:solidFill>
              <a:schemeClr val="accent2"/>
            </a:solidFill>
            <a:ln>
              <a:noFill/>
            </a:ln>
            <a:effectLst/>
          </c:spPr>
          <c:invertIfNegative val="0"/>
          <c:cat>
            <c:multiLvlStrRef>
              <c:f>OEE!$AF$10:$AG$34</c:f>
              <c:multiLvlStrCache>
                <c:ptCount val="25"/>
                <c:lvl>
                  <c:pt idx="0">
                    <c:v>10</c:v>
                  </c:pt>
                  <c:pt idx="1">
                    <c:v>11</c:v>
                  </c:pt>
                  <c:pt idx="2">
                    <c:v>15</c:v>
                  </c:pt>
                  <c:pt idx="3">
                    <c:v>16</c:v>
                  </c:pt>
                  <c:pt idx="4">
                    <c:v>17</c:v>
                  </c:pt>
                  <c:pt idx="5">
                    <c:v>18</c:v>
                  </c:pt>
                  <c:pt idx="6">
                    <c:v>19</c:v>
                  </c:pt>
                  <c:pt idx="7">
                    <c:v>20</c:v>
                  </c:pt>
                  <c:pt idx="8">
                    <c:v>22</c:v>
                  </c:pt>
                  <c:pt idx="9">
                    <c:v>23</c:v>
                  </c:pt>
                  <c:pt idx="10">
                    <c:v>24</c:v>
                  </c:pt>
                  <c:pt idx="11">
                    <c:v>25</c:v>
                  </c:pt>
                  <c:pt idx="12">
                    <c:v>26</c:v>
                  </c:pt>
                  <c:pt idx="13">
                    <c:v>27</c:v>
                  </c:pt>
                  <c:pt idx="14">
                    <c:v>29</c:v>
                  </c:pt>
                  <c:pt idx="15">
                    <c:v>30</c:v>
                  </c:pt>
                  <c:pt idx="16">
                    <c:v>31</c:v>
                  </c:pt>
                  <c:pt idx="17">
                    <c:v>1</c:v>
                  </c:pt>
                  <c:pt idx="18">
                    <c:v>2</c:v>
                  </c:pt>
                  <c:pt idx="19">
                    <c:v>3</c:v>
                  </c:pt>
                  <c:pt idx="20">
                    <c:v>5</c:v>
                  </c:pt>
                  <c:pt idx="21">
                    <c:v>6</c:v>
                  </c:pt>
                  <c:pt idx="22">
                    <c:v>9</c:v>
                  </c:pt>
                  <c:pt idx="23">
                    <c:v>11</c:v>
                  </c:pt>
                  <c:pt idx="24">
                    <c:v>12</c:v>
                  </c:pt>
                </c:lvl>
                <c:lvl>
                  <c:pt idx="0">
                    <c:v>Januari</c:v>
                  </c:pt>
                  <c:pt idx="17">
                    <c:v>Februari</c:v>
                  </c:pt>
                </c:lvl>
              </c:multiLvlStrCache>
            </c:multiLvlStrRef>
          </c:cat>
          <c:val>
            <c:numRef>
              <c:f>OEE!$AI$10:$AI$34</c:f>
              <c:numCache>
                <c:formatCode>0.00%</c:formatCode>
                <c:ptCount val="25"/>
                <c:pt idx="0">
                  <c:v>0.87575322916666665</c:v>
                </c:pt>
                <c:pt idx="1">
                  <c:v>0.81256812499999997</c:v>
                </c:pt>
                <c:pt idx="2">
                  <c:v>0.98432750000000002</c:v>
                </c:pt>
                <c:pt idx="3">
                  <c:v>0.8690010416666667</c:v>
                </c:pt>
                <c:pt idx="4">
                  <c:v>0.89979760416666654</c:v>
                </c:pt>
                <c:pt idx="5">
                  <c:v>0.90237770833333331</c:v>
                </c:pt>
                <c:pt idx="6">
                  <c:v>0.87409381889763782</c:v>
                </c:pt>
                <c:pt idx="7">
                  <c:v>0.85471793814432984</c:v>
                </c:pt>
                <c:pt idx="8">
                  <c:v>0.84195999999999993</c:v>
                </c:pt>
                <c:pt idx="9">
                  <c:v>0.80565124999999993</c:v>
                </c:pt>
                <c:pt idx="10">
                  <c:v>0.86779333333333331</c:v>
                </c:pt>
                <c:pt idx="11">
                  <c:v>0.83321800000000001</c:v>
                </c:pt>
                <c:pt idx="12">
                  <c:v>0.83514481865284962</c:v>
                </c:pt>
                <c:pt idx="13">
                  <c:v>0.90596090909090898</c:v>
                </c:pt>
                <c:pt idx="14">
                  <c:v>0.89414333333333329</c:v>
                </c:pt>
                <c:pt idx="15">
                  <c:v>0.89458249999999995</c:v>
                </c:pt>
                <c:pt idx="16">
                  <c:v>0.91961499999999996</c:v>
                </c:pt>
                <c:pt idx="17">
                  <c:v>0.8574729166666667</c:v>
                </c:pt>
                <c:pt idx="18">
                  <c:v>0.85782573033707854</c:v>
                </c:pt>
                <c:pt idx="19">
                  <c:v>0.82224853658536579</c:v>
                </c:pt>
                <c:pt idx="20">
                  <c:v>0.91198427509293667</c:v>
                </c:pt>
                <c:pt idx="21">
                  <c:v>0.85110499999999989</c:v>
                </c:pt>
                <c:pt idx="22">
                  <c:v>0.99930103448275864</c:v>
                </c:pt>
                <c:pt idx="23">
                  <c:v>1.0705443442622948</c:v>
                </c:pt>
                <c:pt idx="24">
                  <c:v>0.88799499999999987</c:v>
                </c:pt>
              </c:numCache>
            </c:numRef>
          </c:val>
          <c:extLst>
            <c:ext xmlns:c16="http://schemas.microsoft.com/office/drawing/2014/chart" uri="{C3380CC4-5D6E-409C-BE32-E72D297353CC}">
              <c16:uniqueId val="{00000001-0B51-48CA-B8B8-359E47811172}"/>
            </c:ext>
          </c:extLst>
        </c:ser>
        <c:ser>
          <c:idx val="2"/>
          <c:order val="2"/>
          <c:tx>
            <c:strRef>
              <c:f>OEE!$AJ$9</c:f>
              <c:strCache>
                <c:ptCount val="1"/>
                <c:pt idx="0">
                  <c:v>Quality</c:v>
                </c:pt>
              </c:strCache>
            </c:strRef>
          </c:tx>
          <c:spPr>
            <a:solidFill>
              <a:srgbClr val="00B050"/>
            </a:solidFill>
            <a:ln>
              <a:noFill/>
            </a:ln>
            <a:effectLst/>
          </c:spPr>
          <c:invertIfNegative val="0"/>
          <c:cat>
            <c:multiLvlStrRef>
              <c:f>OEE!$AF$10:$AG$34</c:f>
              <c:multiLvlStrCache>
                <c:ptCount val="25"/>
                <c:lvl>
                  <c:pt idx="0">
                    <c:v>10</c:v>
                  </c:pt>
                  <c:pt idx="1">
                    <c:v>11</c:v>
                  </c:pt>
                  <c:pt idx="2">
                    <c:v>15</c:v>
                  </c:pt>
                  <c:pt idx="3">
                    <c:v>16</c:v>
                  </c:pt>
                  <c:pt idx="4">
                    <c:v>17</c:v>
                  </c:pt>
                  <c:pt idx="5">
                    <c:v>18</c:v>
                  </c:pt>
                  <c:pt idx="6">
                    <c:v>19</c:v>
                  </c:pt>
                  <c:pt idx="7">
                    <c:v>20</c:v>
                  </c:pt>
                  <c:pt idx="8">
                    <c:v>22</c:v>
                  </c:pt>
                  <c:pt idx="9">
                    <c:v>23</c:v>
                  </c:pt>
                  <c:pt idx="10">
                    <c:v>24</c:v>
                  </c:pt>
                  <c:pt idx="11">
                    <c:v>25</c:v>
                  </c:pt>
                  <c:pt idx="12">
                    <c:v>26</c:v>
                  </c:pt>
                  <c:pt idx="13">
                    <c:v>27</c:v>
                  </c:pt>
                  <c:pt idx="14">
                    <c:v>29</c:v>
                  </c:pt>
                  <c:pt idx="15">
                    <c:v>30</c:v>
                  </c:pt>
                  <c:pt idx="16">
                    <c:v>31</c:v>
                  </c:pt>
                  <c:pt idx="17">
                    <c:v>1</c:v>
                  </c:pt>
                  <c:pt idx="18">
                    <c:v>2</c:v>
                  </c:pt>
                  <c:pt idx="19">
                    <c:v>3</c:v>
                  </c:pt>
                  <c:pt idx="20">
                    <c:v>5</c:v>
                  </c:pt>
                  <c:pt idx="21">
                    <c:v>6</c:v>
                  </c:pt>
                  <c:pt idx="22">
                    <c:v>9</c:v>
                  </c:pt>
                  <c:pt idx="23">
                    <c:v>11</c:v>
                  </c:pt>
                  <c:pt idx="24">
                    <c:v>12</c:v>
                  </c:pt>
                </c:lvl>
                <c:lvl>
                  <c:pt idx="0">
                    <c:v>Januari</c:v>
                  </c:pt>
                  <c:pt idx="17">
                    <c:v>Februari</c:v>
                  </c:pt>
                </c:lvl>
              </c:multiLvlStrCache>
            </c:multiLvlStrRef>
          </c:cat>
          <c:val>
            <c:numRef>
              <c:f>OEE!$AJ$10:$AJ$34</c:f>
              <c:numCache>
                <c:formatCode>0.00%</c:formatCode>
                <c:ptCount val="2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numCache>
            </c:numRef>
          </c:val>
          <c:extLst>
            <c:ext xmlns:c16="http://schemas.microsoft.com/office/drawing/2014/chart" uri="{C3380CC4-5D6E-409C-BE32-E72D297353CC}">
              <c16:uniqueId val="{00000002-0B51-48CA-B8B8-359E47811172}"/>
            </c:ext>
          </c:extLst>
        </c:ser>
        <c:ser>
          <c:idx val="3"/>
          <c:order val="3"/>
          <c:tx>
            <c:strRef>
              <c:f>OEE!$AK$9</c:f>
              <c:strCache>
                <c:ptCount val="1"/>
                <c:pt idx="0">
                  <c:v>OEE</c:v>
                </c:pt>
              </c:strCache>
            </c:strRef>
          </c:tx>
          <c:spPr>
            <a:solidFill>
              <a:schemeClr val="accent4"/>
            </a:solidFill>
            <a:ln>
              <a:noFill/>
            </a:ln>
            <a:effectLst/>
          </c:spPr>
          <c:invertIfNegative val="0"/>
          <c:dLbls>
            <c:spPr>
              <a:solidFill>
                <a:schemeClr val="bg1"/>
              </a:solidFill>
              <a:ln>
                <a:solidFill>
                  <a:schemeClr val="accent2"/>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OEE!$AF$10:$AG$34</c:f>
              <c:multiLvlStrCache>
                <c:ptCount val="25"/>
                <c:lvl>
                  <c:pt idx="0">
                    <c:v>10</c:v>
                  </c:pt>
                  <c:pt idx="1">
                    <c:v>11</c:v>
                  </c:pt>
                  <c:pt idx="2">
                    <c:v>15</c:v>
                  </c:pt>
                  <c:pt idx="3">
                    <c:v>16</c:v>
                  </c:pt>
                  <c:pt idx="4">
                    <c:v>17</c:v>
                  </c:pt>
                  <c:pt idx="5">
                    <c:v>18</c:v>
                  </c:pt>
                  <c:pt idx="6">
                    <c:v>19</c:v>
                  </c:pt>
                  <c:pt idx="7">
                    <c:v>20</c:v>
                  </c:pt>
                  <c:pt idx="8">
                    <c:v>22</c:v>
                  </c:pt>
                  <c:pt idx="9">
                    <c:v>23</c:v>
                  </c:pt>
                  <c:pt idx="10">
                    <c:v>24</c:v>
                  </c:pt>
                  <c:pt idx="11">
                    <c:v>25</c:v>
                  </c:pt>
                  <c:pt idx="12">
                    <c:v>26</c:v>
                  </c:pt>
                  <c:pt idx="13">
                    <c:v>27</c:v>
                  </c:pt>
                  <c:pt idx="14">
                    <c:v>29</c:v>
                  </c:pt>
                  <c:pt idx="15">
                    <c:v>30</c:v>
                  </c:pt>
                  <c:pt idx="16">
                    <c:v>31</c:v>
                  </c:pt>
                  <c:pt idx="17">
                    <c:v>1</c:v>
                  </c:pt>
                  <c:pt idx="18">
                    <c:v>2</c:v>
                  </c:pt>
                  <c:pt idx="19">
                    <c:v>3</c:v>
                  </c:pt>
                  <c:pt idx="20">
                    <c:v>5</c:v>
                  </c:pt>
                  <c:pt idx="21">
                    <c:v>6</c:v>
                  </c:pt>
                  <c:pt idx="22">
                    <c:v>9</c:v>
                  </c:pt>
                  <c:pt idx="23">
                    <c:v>11</c:v>
                  </c:pt>
                  <c:pt idx="24">
                    <c:v>12</c:v>
                  </c:pt>
                </c:lvl>
                <c:lvl>
                  <c:pt idx="0">
                    <c:v>Januari</c:v>
                  </c:pt>
                  <c:pt idx="17">
                    <c:v>Februari</c:v>
                  </c:pt>
                </c:lvl>
              </c:multiLvlStrCache>
            </c:multiLvlStrRef>
          </c:cat>
          <c:val>
            <c:numRef>
              <c:f>OEE!$AK$10:$AK$34</c:f>
              <c:numCache>
                <c:formatCode>0.00%</c:formatCode>
                <c:ptCount val="25"/>
                <c:pt idx="0">
                  <c:v>0.87575322916666665</c:v>
                </c:pt>
                <c:pt idx="1">
                  <c:v>0.79598510204081629</c:v>
                </c:pt>
                <c:pt idx="2">
                  <c:v>0.98432749999999991</c:v>
                </c:pt>
                <c:pt idx="3">
                  <c:v>0.8690010416666667</c:v>
                </c:pt>
                <c:pt idx="4">
                  <c:v>0.89979760416666654</c:v>
                </c:pt>
                <c:pt idx="5">
                  <c:v>0.90237770833333331</c:v>
                </c:pt>
                <c:pt idx="6">
                  <c:v>0.87409381889763782</c:v>
                </c:pt>
                <c:pt idx="7">
                  <c:v>0.85471793814432984</c:v>
                </c:pt>
                <c:pt idx="8">
                  <c:v>0.84195999999999993</c:v>
                </c:pt>
                <c:pt idx="9">
                  <c:v>0.80565124999999993</c:v>
                </c:pt>
                <c:pt idx="10">
                  <c:v>0.86779333333333331</c:v>
                </c:pt>
                <c:pt idx="11">
                  <c:v>0.83321800000000001</c:v>
                </c:pt>
                <c:pt idx="12">
                  <c:v>0.83514481865284962</c:v>
                </c:pt>
                <c:pt idx="13">
                  <c:v>0.62284812499999997</c:v>
                </c:pt>
                <c:pt idx="14">
                  <c:v>0.89414333333333329</c:v>
                </c:pt>
                <c:pt idx="15">
                  <c:v>0.89458249999999995</c:v>
                </c:pt>
                <c:pt idx="16">
                  <c:v>0.91961499999999996</c:v>
                </c:pt>
                <c:pt idx="17">
                  <c:v>0.8574729166666667</c:v>
                </c:pt>
                <c:pt idx="18">
                  <c:v>0.82685729241877248</c:v>
                </c:pt>
                <c:pt idx="19">
                  <c:v>0.82224853658536579</c:v>
                </c:pt>
                <c:pt idx="20">
                  <c:v>0.85181864583333322</c:v>
                </c:pt>
                <c:pt idx="21">
                  <c:v>0.85110499999999989</c:v>
                </c:pt>
                <c:pt idx="22">
                  <c:v>0.92365673306772911</c:v>
                </c:pt>
                <c:pt idx="23">
                  <c:v>0.91976345070422505</c:v>
                </c:pt>
                <c:pt idx="24">
                  <c:v>0.88799499999999987</c:v>
                </c:pt>
              </c:numCache>
            </c:numRef>
          </c:val>
          <c:extLst>
            <c:ext xmlns:c16="http://schemas.microsoft.com/office/drawing/2014/chart" uri="{C3380CC4-5D6E-409C-BE32-E72D297353CC}">
              <c16:uniqueId val="{00000003-0B51-48CA-B8B8-359E47811172}"/>
            </c:ext>
          </c:extLst>
        </c:ser>
        <c:dLbls>
          <c:showLegendKey val="0"/>
          <c:showVal val="0"/>
          <c:showCatName val="0"/>
          <c:showSerName val="0"/>
          <c:showPercent val="0"/>
          <c:showBubbleSize val="0"/>
        </c:dLbls>
        <c:gapWidth val="219"/>
        <c:overlap val="-27"/>
        <c:axId val="886014927"/>
        <c:axId val="886015343"/>
      </c:barChart>
      <c:lineChart>
        <c:grouping val="stacked"/>
        <c:varyColors val="0"/>
        <c:ser>
          <c:idx val="4"/>
          <c:order val="4"/>
          <c:tx>
            <c:strRef>
              <c:f>OEE!$AL$9</c:f>
              <c:strCache>
                <c:ptCount val="1"/>
                <c:pt idx="0">
                  <c:v>Target OEE</c:v>
                </c:pt>
              </c:strCache>
            </c:strRef>
          </c:tx>
          <c:spPr>
            <a:ln w="25400" cap="rnd">
              <a:solidFill>
                <a:srgbClr val="FF0000"/>
              </a:solidFill>
              <a:round/>
            </a:ln>
            <a:effectLst/>
          </c:spPr>
          <c:marker>
            <c:symbol val="none"/>
          </c:marker>
          <c:dLbls>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51-48CA-B8B8-359E4781117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OEE!$AL$10:$AL$34</c:f>
              <c:numCache>
                <c:formatCode>0%</c:formatCode>
                <c:ptCount val="25"/>
                <c:pt idx="0">
                  <c:v>0.85</c:v>
                </c:pt>
                <c:pt idx="1">
                  <c:v>0.85</c:v>
                </c:pt>
                <c:pt idx="2">
                  <c:v>0.85</c:v>
                </c:pt>
                <c:pt idx="3">
                  <c:v>0.85</c:v>
                </c:pt>
                <c:pt idx="4">
                  <c:v>0.85</c:v>
                </c:pt>
                <c:pt idx="5">
                  <c:v>0.85</c:v>
                </c:pt>
                <c:pt idx="6">
                  <c:v>0.85</c:v>
                </c:pt>
                <c:pt idx="7">
                  <c:v>0.85</c:v>
                </c:pt>
                <c:pt idx="8">
                  <c:v>0.85</c:v>
                </c:pt>
                <c:pt idx="9">
                  <c:v>0.85</c:v>
                </c:pt>
                <c:pt idx="10">
                  <c:v>0.85</c:v>
                </c:pt>
                <c:pt idx="11">
                  <c:v>0.85</c:v>
                </c:pt>
                <c:pt idx="12">
                  <c:v>0.85</c:v>
                </c:pt>
                <c:pt idx="13">
                  <c:v>0.85</c:v>
                </c:pt>
                <c:pt idx="14">
                  <c:v>0.85</c:v>
                </c:pt>
                <c:pt idx="15">
                  <c:v>0.85</c:v>
                </c:pt>
                <c:pt idx="16">
                  <c:v>0.85</c:v>
                </c:pt>
                <c:pt idx="17">
                  <c:v>0.85</c:v>
                </c:pt>
                <c:pt idx="18">
                  <c:v>0.85</c:v>
                </c:pt>
                <c:pt idx="19">
                  <c:v>0.85</c:v>
                </c:pt>
                <c:pt idx="20">
                  <c:v>0.85</c:v>
                </c:pt>
                <c:pt idx="21">
                  <c:v>0.85</c:v>
                </c:pt>
                <c:pt idx="22">
                  <c:v>0.85</c:v>
                </c:pt>
                <c:pt idx="23">
                  <c:v>0.85</c:v>
                </c:pt>
                <c:pt idx="24">
                  <c:v>0.85</c:v>
                </c:pt>
              </c:numCache>
            </c:numRef>
          </c:val>
          <c:smooth val="0"/>
          <c:extLst>
            <c:ext xmlns:c16="http://schemas.microsoft.com/office/drawing/2014/chart" uri="{C3380CC4-5D6E-409C-BE32-E72D297353CC}">
              <c16:uniqueId val="{00000005-0B51-48CA-B8B8-359E47811172}"/>
            </c:ext>
          </c:extLst>
        </c:ser>
        <c:dLbls>
          <c:showLegendKey val="0"/>
          <c:showVal val="0"/>
          <c:showCatName val="0"/>
          <c:showSerName val="0"/>
          <c:showPercent val="0"/>
          <c:showBubbleSize val="0"/>
        </c:dLbls>
        <c:marker val="1"/>
        <c:smooth val="0"/>
        <c:axId val="886014927"/>
        <c:axId val="886015343"/>
      </c:lineChart>
      <c:catAx>
        <c:axId val="886014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86015343"/>
        <c:crosses val="autoZero"/>
        <c:auto val="1"/>
        <c:lblAlgn val="ctr"/>
        <c:lblOffset val="100"/>
        <c:noMultiLvlLbl val="0"/>
      </c:catAx>
      <c:valAx>
        <c:axId val="886015343"/>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t>Presentase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8601492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LLDay!$K$46</c:f>
              <c:strCache>
                <c:ptCount val="1"/>
                <c:pt idx="0">
                  <c:v>Total Count</c:v>
                </c:pt>
              </c:strCache>
            </c:strRef>
          </c:tx>
          <c:spPr>
            <a:ln w="28575" cap="rnd">
              <a:solidFill>
                <a:schemeClr val="accent1"/>
              </a:solidFill>
              <a:round/>
            </a:ln>
            <a:effectLst/>
          </c:spPr>
          <c:marker>
            <c:symbol val="none"/>
          </c:marker>
          <c:cat>
            <c:multiLvlStrRef>
              <c:f>LLDay!$I$47:$J$71</c:f>
              <c:multiLvlStrCache>
                <c:ptCount val="25"/>
                <c:lvl>
                  <c:pt idx="0">
                    <c:v>10</c:v>
                  </c:pt>
                  <c:pt idx="1">
                    <c:v>11</c:v>
                  </c:pt>
                  <c:pt idx="2">
                    <c:v>15</c:v>
                  </c:pt>
                  <c:pt idx="3">
                    <c:v>16</c:v>
                  </c:pt>
                  <c:pt idx="4">
                    <c:v>17</c:v>
                  </c:pt>
                  <c:pt idx="5">
                    <c:v>18</c:v>
                  </c:pt>
                  <c:pt idx="6">
                    <c:v>19</c:v>
                  </c:pt>
                  <c:pt idx="7">
                    <c:v>20</c:v>
                  </c:pt>
                  <c:pt idx="8">
                    <c:v>22</c:v>
                  </c:pt>
                  <c:pt idx="9">
                    <c:v>23</c:v>
                  </c:pt>
                  <c:pt idx="10">
                    <c:v>24</c:v>
                  </c:pt>
                  <c:pt idx="11">
                    <c:v>25</c:v>
                  </c:pt>
                  <c:pt idx="12">
                    <c:v>26</c:v>
                  </c:pt>
                  <c:pt idx="13">
                    <c:v>27</c:v>
                  </c:pt>
                  <c:pt idx="14">
                    <c:v>29</c:v>
                  </c:pt>
                  <c:pt idx="15">
                    <c:v>30</c:v>
                  </c:pt>
                  <c:pt idx="16">
                    <c:v>31</c:v>
                  </c:pt>
                  <c:pt idx="17">
                    <c:v>1</c:v>
                  </c:pt>
                  <c:pt idx="18">
                    <c:v>2</c:v>
                  </c:pt>
                  <c:pt idx="19">
                    <c:v>3</c:v>
                  </c:pt>
                  <c:pt idx="20">
                    <c:v>5</c:v>
                  </c:pt>
                  <c:pt idx="21">
                    <c:v>6</c:v>
                  </c:pt>
                  <c:pt idx="22">
                    <c:v>9</c:v>
                  </c:pt>
                  <c:pt idx="23">
                    <c:v>11</c:v>
                  </c:pt>
                  <c:pt idx="24">
                    <c:v>12</c:v>
                  </c:pt>
                </c:lvl>
                <c:lvl>
                  <c:pt idx="0">
                    <c:v>Januari</c:v>
                  </c:pt>
                  <c:pt idx="17">
                    <c:v>Februari</c:v>
                  </c:pt>
                </c:lvl>
              </c:multiLvlStrCache>
            </c:multiLvlStrRef>
          </c:cat>
          <c:val>
            <c:numRef>
              <c:f>LLDay!$K$47:$K$71</c:f>
              <c:numCache>
                <c:formatCode>General</c:formatCode>
                <c:ptCount val="25"/>
                <c:pt idx="0">
                  <c:v>15953</c:v>
                </c:pt>
                <c:pt idx="1">
                  <c:v>9868</c:v>
                </c:pt>
                <c:pt idx="2">
                  <c:v>12701</c:v>
                </c:pt>
                <c:pt idx="3">
                  <c:v>15830</c:v>
                </c:pt>
                <c:pt idx="4">
                  <c:v>16391</c:v>
                </c:pt>
                <c:pt idx="5">
                  <c:v>16438</c:v>
                </c:pt>
                <c:pt idx="6">
                  <c:v>14043</c:v>
                </c:pt>
                <c:pt idx="7">
                  <c:v>10488</c:v>
                </c:pt>
                <c:pt idx="8">
                  <c:v>5432</c:v>
                </c:pt>
                <c:pt idx="9">
                  <c:v>14676</c:v>
                </c:pt>
                <c:pt idx="10">
                  <c:v>15808</c:v>
                </c:pt>
                <c:pt idx="11">
                  <c:v>13439</c:v>
                </c:pt>
                <c:pt idx="12">
                  <c:v>10195</c:v>
                </c:pt>
                <c:pt idx="13">
                  <c:v>1891</c:v>
                </c:pt>
                <c:pt idx="14">
                  <c:v>5599</c:v>
                </c:pt>
                <c:pt idx="15">
                  <c:v>16296</c:v>
                </c:pt>
                <c:pt idx="16">
                  <c:v>16752</c:v>
                </c:pt>
                <c:pt idx="17">
                  <c:v>15620</c:v>
                </c:pt>
                <c:pt idx="18">
                  <c:v>14487</c:v>
                </c:pt>
                <c:pt idx="19">
                  <c:v>6397</c:v>
                </c:pt>
                <c:pt idx="20">
                  <c:v>15517</c:v>
                </c:pt>
                <c:pt idx="21">
                  <c:v>15504</c:v>
                </c:pt>
                <c:pt idx="22">
                  <c:v>14664</c:v>
                </c:pt>
                <c:pt idx="23">
                  <c:v>8261</c:v>
                </c:pt>
                <c:pt idx="24">
                  <c:v>14491</c:v>
                </c:pt>
              </c:numCache>
            </c:numRef>
          </c:val>
          <c:smooth val="0"/>
          <c:extLst>
            <c:ext xmlns:c16="http://schemas.microsoft.com/office/drawing/2014/chart" uri="{C3380CC4-5D6E-409C-BE32-E72D297353CC}">
              <c16:uniqueId val="{00000000-3D9F-4C50-9298-FB29EB511808}"/>
            </c:ext>
          </c:extLst>
        </c:ser>
        <c:dLbls>
          <c:showLegendKey val="0"/>
          <c:showVal val="0"/>
          <c:showCatName val="0"/>
          <c:showSerName val="0"/>
          <c:showPercent val="0"/>
          <c:showBubbleSize val="0"/>
        </c:dLbls>
        <c:marker val="1"/>
        <c:smooth val="0"/>
        <c:axId val="986265791"/>
        <c:axId val="986266207"/>
      </c:lineChart>
      <c:lineChart>
        <c:grouping val="standard"/>
        <c:varyColors val="0"/>
        <c:ser>
          <c:idx val="1"/>
          <c:order val="1"/>
          <c:tx>
            <c:strRef>
              <c:f>LLDay!$L$46</c:f>
              <c:strCache>
                <c:ptCount val="1"/>
                <c:pt idx="0">
                  <c:v>Planned Production</c:v>
                </c:pt>
              </c:strCache>
            </c:strRef>
          </c:tx>
          <c:spPr>
            <a:ln w="28575" cap="rnd">
              <a:solidFill>
                <a:schemeClr val="accent2"/>
              </a:solidFill>
              <a:round/>
            </a:ln>
            <a:effectLst/>
          </c:spPr>
          <c:marker>
            <c:symbol val="none"/>
          </c:marker>
          <c:cat>
            <c:multiLvlStrRef>
              <c:f>LLDay!$I$47:$J$71</c:f>
              <c:multiLvlStrCache>
                <c:ptCount val="25"/>
                <c:lvl>
                  <c:pt idx="0">
                    <c:v>10</c:v>
                  </c:pt>
                  <c:pt idx="1">
                    <c:v>11</c:v>
                  </c:pt>
                  <c:pt idx="2">
                    <c:v>15</c:v>
                  </c:pt>
                  <c:pt idx="3">
                    <c:v>16</c:v>
                  </c:pt>
                  <c:pt idx="4">
                    <c:v>17</c:v>
                  </c:pt>
                  <c:pt idx="5">
                    <c:v>18</c:v>
                  </c:pt>
                  <c:pt idx="6">
                    <c:v>19</c:v>
                  </c:pt>
                  <c:pt idx="7">
                    <c:v>20</c:v>
                  </c:pt>
                  <c:pt idx="8">
                    <c:v>22</c:v>
                  </c:pt>
                  <c:pt idx="9">
                    <c:v>23</c:v>
                  </c:pt>
                  <c:pt idx="10">
                    <c:v>24</c:v>
                  </c:pt>
                  <c:pt idx="11">
                    <c:v>25</c:v>
                  </c:pt>
                  <c:pt idx="12">
                    <c:v>26</c:v>
                  </c:pt>
                  <c:pt idx="13">
                    <c:v>27</c:v>
                  </c:pt>
                  <c:pt idx="14">
                    <c:v>29</c:v>
                  </c:pt>
                  <c:pt idx="15">
                    <c:v>30</c:v>
                  </c:pt>
                  <c:pt idx="16">
                    <c:v>31</c:v>
                  </c:pt>
                  <c:pt idx="17">
                    <c:v>1</c:v>
                  </c:pt>
                  <c:pt idx="18">
                    <c:v>2</c:v>
                  </c:pt>
                  <c:pt idx="19">
                    <c:v>3</c:v>
                  </c:pt>
                  <c:pt idx="20">
                    <c:v>5</c:v>
                  </c:pt>
                  <c:pt idx="21">
                    <c:v>6</c:v>
                  </c:pt>
                  <c:pt idx="22">
                    <c:v>9</c:v>
                  </c:pt>
                  <c:pt idx="23">
                    <c:v>11</c:v>
                  </c:pt>
                  <c:pt idx="24">
                    <c:v>12</c:v>
                  </c:pt>
                </c:lvl>
                <c:lvl>
                  <c:pt idx="0">
                    <c:v>Januari</c:v>
                  </c:pt>
                  <c:pt idx="17">
                    <c:v>Februari</c:v>
                  </c:pt>
                </c:lvl>
              </c:multiLvlStrCache>
            </c:multiLvlStrRef>
          </c:cat>
          <c:val>
            <c:numRef>
              <c:f>LLDay!$L$47:$L$71</c:f>
              <c:numCache>
                <c:formatCode>General</c:formatCode>
                <c:ptCount val="25"/>
                <c:pt idx="0">
                  <c:v>1440</c:v>
                </c:pt>
                <c:pt idx="1">
                  <c:v>980</c:v>
                </c:pt>
                <c:pt idx="2">
                  <c:v>1020</c:v>
                </c:pt>
                <c:pt idx="3">
                  <c:v>1440</c:v>
                </c:pt>
                <c:pt idx="4">
                  <c:v>1440</c:v>
                </c:pt>
                <c:pt idx="5">
                  <c:v>1440</c:v>
                </c:pt>
                <c:pt idx="6">
                  <c:v>1270</c:v>
                </c:pt>
                <c:pt idx="7">
                  <c:v>970</c:v>
                </c:pt>
                <c:pt idx="8">
                  <c:v>510</c:v>
                </c:pt>
                <c:pt idx="9">
                  <c:v>1440</c:v>
                </c:pt>
                <c:pt idx="10">
                  <c:v>1440</c:v>
                </c:pt>
                <c:pt idx="11">
                  <c:v>1275</c:v>
                </c:pt>
                <c:pt idx="12">
                  <c:v>965</c:v>
                </c:pt>
                <c:pt idx="13">
                  <c:v>240</c:v>
                </c:pt>
                <c:pt idx="14">
                  <c:v>495</c:v>
                </c:pt>
                <c:pt idx="15">
                  <c:v>1440</c:v>
                </c:pt>
                <c:pt idx="16">
                  <c:v>1440</c:v>
                </c:pt>
                <c:pt idx="17">
                  <c:v>1440</c:v>
                </c:pt>
                <c:pt idx="18">
                  <c:v>1385</c:v>
                </c:pt>
                <c:pt idx="19">
                  <c:v>615</c:v>
                </c:pt>
                <c:pt idx="20">
                  <c:v>1440</c:v>
                </c:pt>
                <c:pt idx="21">
                  <c:v>1440</c:v>
                </c:pt>
                <c:pt idx="22">
                  <c:v>1255</c:v>
                </c:pt>
                <c:pt idx="23">
                  <c:v>710</c:v>
                </c:pt>
                <c:pt idx="24">
                  <c:v>1290</c:v>
                </c:pt>
              </c:numCache>
            </c:numRef>
          </c:val>
          <c:smooth val="0"/>
          <c:extLst>
            <c:ext xmlns:c16="http://schemas.microsoft.com/office/drawing/2014/chart" uri="{C3380CC4-5D6E-409C-BE32-E72D297353CC}">
              <c16:uniqueId val="{00000001-3D9F-4C50-9298-FB29EB511808}"/>
            </c:ext>
          </c:extLst>
        </c:ser>
        <c:ser>
          <c:idx val="2"/>
          <c:order val="2"/>
          <c:tx>
            <c:strRef>
              <c:f>LLDay!$M$46</c:f>
              <c:strCache>
                <c:ptCount val="1"/>
                <c:pt idx="0">
                  <c:v>Downtime</c:v>
                </c:pt>
              </c:strCache>
            </c:strRef>
          </c:tx>
          <c:spPr>
            <a:ln w="28575" cap="rnd">
              <a:solidFill>
                <a:schemeClr val="accent3"/>
              </a:solidFill>
              <a:round/>
            </a:ln>
            <a:effectLst/>
          </c:spPr>
          <c:marker>
            <c:symbol val="none"/>
          </c:marker>
          <c:cat>
            <c:multiLvlStrRef>
              <c:f>LLDay!$I$47:$J$71</c:f>
              <c:multiLvlStrCache>
                <c:ptCount val="25"/>
                <c:lvl>
                  <c:pt idx="0">
                    <c:v>10</c:v>
                  </c:pt>
                  <c:pt idx="1">
                    <c:v>11</c:v>
                  </c:pt>
                  <c:pt idx="2">
                    <c:v>15</c:v>
                  </c:pt>
                  <c:pt idx="3">
                    <c:v>16</c:v>
                  </c:pt>
                  <c:pt idx="4">
                    <c:v>17</c:v>
                  </c:pt>
                  <c:pt idx="5">
                    <c:v>18</c:v>
                  </c:pt>
                  <c:pt idx="6">
                    <c:v>19</c:v>
                  </c:pt>
                  <c:pt idx="7">
                    <c:v>20</c:v>
                  </c:pt>
                  <c:pt idx="8">
                    <c:v>22</c:v>
                  </c:pt>
                  <c:pt idx="9">
                    <c:v>23</c:v>
                  </c:pt>
                  <c:pt idx="10">
                    <c:v>24</c:v>
                  </c:pt>
                  <c:pt idx="11">
                    <c:v>25</c:v>
                  </c:pt>
                  <c:pt idx="12">
                    <c:v>26</c:v>
                  </c:pt>
                  <c:pt idx="13">
                    <c:v>27</c:v>
                  </c:pt>
                  <c:pt idx="14">
                    <c:v>29</c:v>
                  </c:pt>
                  <c:pt idx="15">
                    <c:v>30</c:v>
                  </c:pt>
                  <c:pt idx="16">
                    <c:v>31</c:v>
                  </c:pt>
                  <c:pt idx="17">
                    <c:v>1</c:v>
                  </c:pt>
                  <c:pt idx="18">
                    <c:v>2</c:v>
                  </c:pt>
                  <c:pt idx="19">
                    <c:v>3</c:v>
                  </c:pt>
                  <c:pt idx="20">
                    <c:v>5</c:v>
                  </c:pt>
                  <c:pt idx="21">
                    <c:v>6</c:v>
                  </c:pt>
                  <c:pt idx="22">
                    <c:v>9</c:v>
                  </c:pt>
                  <c:pt idx="23">
                    <c:v>11</c:v>
                  </c:pt>
                  <c:pt idx="24">
                    <c:v>12</c:v>
                  </c:pt>
                </c:lvl>
                <c:lvl>
                  <c:pt idx="0">
                    <c:v>Januari</c:v>
                  </c:pt>
                  <c:pt idx="17">
                    <c:v>Februari</c:v>
                  </c:pt>
                </c:lvl>
              </c:multiLvlStrCache>
            </c:multiLvlStrRef>
          </c:cat>
          <c:val>
            <c:numRef>
              <c:f>LLDay!$M$47:$M$71</c:f>
              <c:numCache>
                <c:formatCode>General</c:formatCode>
                <c:ptCount val="25"/>
                <c:pt idx="0">
                  <c:v>0</c:v>
                </c:pt>
                <c:pt idx="1">
                  <c:v>20</c:v>
                </c:pt>
                <c:pt idx="2">
                  <c:v>0</c:v>
                </c:pt>
                <c:pt idx="3">
                  <c:v>0</c:v>
                </c:pt>
                <c:pt idx="4">
                  <c:v>0</c:v>
                </c:pt>
                <c:pt idx="5">
                  <c:v>0</c:v>
                </c:pt>
                <c:pt idx="6">
                  <c:v>0</c:v>
                </c:pt>
                <c:pt idx="7">
                  <c:v>0</c:v>
                </c:pt>
                <c:pt idx="8">
                  <c:v>0</c:v>
                </c:pt>
                <c:pt idx="9">
                  <c:v>0</c:v>
                </c:pt>
                <c:pt idx="10">
                  <c:v>0</c:v>
                </c:pt>
                <c:pt idx="11">
                  <c:v>0</c:v>
                </c:pt>
                <c:pt idx="12">
                  <c:v>0</c:v>
                </c:pt>
                <c:pt idx="13">
                  <c:v>75</c:v>
                </c:pt>
                <c:pt idx="14">
                  <c:v>0</c:v>
                </c:pt>
                <c:pt idx="15">
                  <c:v>0</c:v>
                </c:pt>
                <c:pt idx="16">
                  <c:v>0</c:v>
                </c:pt>
                <c:pt idx="17">
                  <c:v>0</c:v>
                </c:pt>
                <c:pt idx="18">
                  <c:v>50</c:v>
                </c:pt>
                <c:pt idx="19">
                  <c:v>0</c:v>
                </c:pt>
                <c:pt idx="20">
                  <c:v>95</c:v>
                </c:pt>
                <c:pt idx="21">
                  <c:v>0</c:v>
                </c:pt>
                <c:pt idx="22">
                  <c:v>95</c:v>
                </c:pt>
                <c:pt idx="23">
                  <c:v>100</c:v>
                </c:pt>
                <c:pt idx="24">
                  <c:v>0</c:v>
                </c:pt>
              </c:numCache>
            </c:numRef>
          </c:val>
          <c:smooth val="0"/>
          <c:extLst>
            <c:ext xmlns:c16="http://schemas.microsoft.com/office/drawing/2014/chart" uri="{C3380CC4-5D6E-409C-BE32-E72D297353CC}">
              <c16:uniqueId val="{00000002-3D9F-4C50-9298-FB29EB511808}"/>
            </c:ext>
          </c:extLst>
        </c:ser>
        <c:dLbls>
          <c:showLegendKey val="0"/>
          <c:showVal val="0"/>
          <c:showCatName val="0"/>
          <c:showSerName val="0"/>
          <c:showPercent val="0"/>
          <c:showBubbleSize val="0"/>
        </c:dLbls>
        <c:marker val="1"/>
        <c:smooth val="0"/>
        <c:axId val="1077472367"/>
        <c:axId val="1077475695"/>
      </c:lineChart>
      <c:catAx>
        <c:axId val="98626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6266207"/>
        <c:crosses val="autoZero"/>
        <c:auto val="1"/>
        <c:lblAlgn val="ctr"/>
        <c:lblOffset val="100"/>
        <c:noMultiLvlLbl val="0"/>
      </c:catAx>
      <c:valAx>
        <c:axId val="986266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t>Total Count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6265791"/>
        <c:crosses val="autoZero"/>
        <c:crossBetween val="between"/>
      </c:valAx>
      <c:valAx>
        <c:axId val="107747569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t>Planned Production</a:t>
                </a:r>
              </a:p>
              <a:p>
                <a:pPr>
                  <a:defRPr/>
                </a:pPr>
                <a:r>
                  <a:rPr lang="en-ID"/>
                  <a:t>&amp; Downtime (menit)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77472367"/>
        <c:crosses val="max"/>
        <c:crossBetween val="between"/>
      </c:valAx>
      <c:catAx>
        <c:axId val="1077472367"/>
        <c:scaling>
          <c:orientation val="minMax"/>
        </c:scaling>
        <c:delete val="1"/>
        <c:axPos val="b"/>
        <c:numFmt formatCode="General" sourceLinked="1"/>
        <c:majorTickMark val="out"/>
        <c:minorTickMark val="none"/>
        <c:tickLblPos val="nextTo"/>
        <c:crossAx val="107747569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Wid12</b:Tag>
    <b:SourceType>JournalArticle</b:SourceType>
    <b:Guid>{0EFF09EB-67F7-4F25-8743-7BE728F264E5}</b:Guid>
    <b:Author>
      <b:Author>
        <b:NameList>
          <b:Person>
            <b:Last>Widiyatmoko</b:Last>
            <b:First>Arif</b:First>
          </b:Person>
        </b:NameList>
      </b:Author>
    </b:Author>
    <b:Title>Pengembangan Perangkat Pembelajaran IPA Fisika Dengan Pendekatan Physics-edutainment Berbantuan CD Pembelajaran Interaktif</b:Title>
    <b:JournalName>Journal of Primary Education</b:JournalName>
    <b:Year>2012</b:Year>
    <b:Volume>1</b:Volume>
    <b:RefOrder>1</b:RefOrder>
  </b:Source>
  <b:Source>
    <b:Tag>Pra12</b:Tag>
    <b:SourceType>JournalArticle</b:SourceType>
    <b:Guid>{89E16EBB-7084-4B82-A2F4-AE056DB42EE9}</b:Guid>
    <b:Author>
      <b:Author>
        <b:NameList>
          <b:Person>
            <b:Last>Prayito</b:Last>
            <b:First>Muhammad</b:First>
          </b:Person>
        </b:NameList>
      </b:Author>
    </b:Author>
    <b:Title>Pengembangan Perangkat Pembelajaran Matematika Humanistik Berbasis Konstruktivisme Berbantuan E-Learning Materi Segitiga Kelas VII</b:Title>
    <b:JournalName>AKSIOMA</b:JournalName>
    <b:Year>2012</b:Year>
    <b:Volume>2</b:Volume>
    <b:Issue>2</b:Issue>
    <b:RefOrder>2</b:RefOrder>
  </b:Source>
</b:Sources>
</file>

<file path=customXml/itemProps1.xml><?xml version="1.0" encoding="utf-8"?>
<ds:datastoreItem xmlns:ds="http://schemas.openxmlformats.org/officeDocument/2006/customXml" ds:itemID="{39B312BD-0D3A-46F3-B7B5-7FEB43014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9</Pages>
  <Words>10717</Words>
  <Characters>61093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71667</CharactersWithSpaces>
  <SharedDoc>false</SharedDoc>
  <HLinks>
    <vt:vector size="6" baseType="variant">
      <vt:variant>
        <vt:i4>1703972</vt:i4>
      </vt:variant>
      <vt:variant>
        <vt:i4>0</vt:i4>
      </vt:variant>
      <vt:variant>
        <vt:i4>0</vt:i4>
      </vt:variant>
      <vt:variant>
        <vt:i4>5</vt:i4>
      </vt:variant>
      <vt:variant>
        <vt:lpwstr>mailto:xxx@xxx.xx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ASUS OHS 2021</cp:lastModifiedBy>
  <cp:revision>47</cp:revision>
  <cp:lastPrinted>2015-05-26T00:33:00Z</cp:lastPrinted>
  <dcterms:created xsi:type="dcterms:W3CDTF">2024-12-31T04:39:00Z</dcterms:created>
  <dcterms:modified xsi:type="dcterms:W3CDTF">2025-01-02T09:03:00Z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154b8aba64abf3b0a0cf86cc54278cc3e390b4966e3d59403c96d887412b36d7</vt:lpwstr>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Unique User Id_1">
    <vt:lpwstr>72ffa8c7-74c1-397b-a66b-21dd170da459</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